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0B138" w14:textId="00CA8BCA" w:rsidR="00F6505C" w:rsidRPr="00614DD8" w:rsidRDefault="00F6505C" w:rsidP="00F6505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Pr>
          <w:rFonts w:ascii="Arial" w:eastAsia="SimSun" w:hAnsi="Arial" w:cs="Times New Roman"/>
          <w:b/>
          <w:sz w:val="24"/>
          <w:szCs w:val="20"/>
          <w:lang w:val="en-US"/>
        </w:rPr>
        <w:t>2bis</w:t>
      </w:r>
      <w:r w:rsidRPr="00614DD8">
        <w:rPr>
          <w:rFonts w:ascii="Arial" w:eastAsia="SimSun" w:hAnsi="Arial" w:cs="Times New Roman"/>
          <w:b/>
          <w:bCs/>
          <w:sz w:val="24"/>
          <w:szCs w:val="20"/>
          <w:lang w:val="en-US"/>
        </w:rPr>
        <w:tab/>
      </w:r>
      <w:r w:rsidR="00945C58" w:rsidRPr="00945C58">
        <w:rPr>
          <w:rFonts w:ascii="Arial" w:eastAsia="SimSun" w:hAnsi="Arial" w:cs="Times New Roman"/>
          <w:b/>
          <w:bCs/>
          <w:sz w:val="24"/>
          <w:szCs w:val="20"/>
          <w:lang w:val="en-US" w:eastAsia="ja-JP"/>
        </w:rPr>
        <w:t>R4-2416191</w:t>
      </w:r>
    </w:p>
    <w:p w14:paraId="75EB638B" w14:textId="77777777" w:rsidR="00F6505C" w:rsidRPr="00614DD8" w:rsidRDefault="00F6505C" w:rsidP="00F6505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14</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Oct</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Pr="00614DD8">
        <w:rPr>
          <w:rFonts w:ascii="Arial" w:eastAsia="SimSun" w:hAnsi="Arial" w:cs="Times New Roman"/>
          <w:b/>
          <w:sz w:val="24"/>
          <w:szCs w:val="20"/>
          <w:lang w:val="en-US"/>
        </w:rPr>
        <w:t>, 2024</w:t>
      </w:r>
    </w:p>
    <w:bookmarkEnd w:id="0"/>
    <w:bookmarkEnd w:id="1"/>
    <w:p w14:paraId="522AE8BF"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32FBC5B"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959C825" w14:textId="6A9E59F3" w:rsidR="00841BCD" w:rsidRPr="00F6505C" w:rsidRDefault="00841BCD" w:rsidP="00841BCD">
      <w:pPr>
        <w:ind w:left="1985" w:hanging="1985"/>
        <w:rPr>
          <w:rFonts w:ascii="Arial" w:eastAsia="Calibri" w:hAnsi="Arial" w:cs="Arial"/>
          <w:b/>
          <w:bCs/>
          <w:sz w:val="24"/>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505C" w:rsidRPr="00F6505C">
        <w:rPr>
          <w:rFonts w:ascii="Arial" w:eastAsia="Calibri" w:hAnsi="Arial" w:cs="Arial"/>
          <w:b/>
          <w:bCs/>
          <w:sz w:val="24"/>
          <w:lang w:val="en-US"/>
        </w:rPr>
        <w:t>Defining RRM scope of work for less than 5 MHz</w:t>
      </w:r>
    </w:p>
    <w:p w14:paraId="34603285" w14:textId="31E5FD6A"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F6505C">
        <w:rPr>
          <w:rFonts w:ascii="Arial" w:eastAsia="MS Mincho" w:hAnsi="Arial" w:cs="Arial"/>
          <w:b/>
          <w:bCs/>
          <w:sz w:val="24"/>
          <w:szCs w:val="20"/>
          <w:lang w:val="en-US"/>
        </w:rPr>
        <w:t>6</w:t>
      </w:r>
      <w:r w:rsidR="006410A2" w:rsidRPr="00A91F45">
        <w:rPr>
          <w:rFonts w:ascii="Arial" w:eastAsia="MS Mincho" w:hAnsi="Arial" w:cs="Arial"/>
          <w:b/>
          <w:bCs/>
          <w:sz w:val="24"/>
          <w:szCs w:val="20"/>
          <w:lang w:val="en-US"/>
        </w:rPr>
        <w:t>.</w:t>
      </w:r>
      <w:r w:rsidR="0078713A" w:rsidRPr="00A91F45">
        <w:rPr>
          <w:rFonts w:ascii="Arial" w:eastAsia="MS Mincho" w:hAnsi="Arial" w:cs="Arial"/>
          <w:b/>
          <w:bCs/>
          <w:sz w:val="24"/>
          <w:szCs w:val="20"/>
          <w:lang w:val="en-US"/>
        </w:rPr>
        <w:t>8.3.4</w:t>
      </w:r>
    </w:p>
    <w:p w14:paraId="697EF48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678B611" w14:textId="77777777" w:rsidR="00E323E9" w:rsidRPr="00614DD8" w:rsidRDefault="00E323E9" w:rsidP="00841BCD">
      <w:pPr>
        <w:tabs>
          <w:tab w:val="left" w:pos="1985"/>
        </w:tabs>
        <w:rPr>
          <w:rFonts w:ascii="Arial" w:eastAsia="Calibri" w:hAnsi="Arial" w:cs="Arial"/>
          <w:b/>
          <w:bCs/>
          <w:sz w:val="24"/>
          <w:lang w:val="en-US"/>
        </w:rPr>
      </w:pPr>
    </w:p>
    <w:p w14:paraId="1FED72C9"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3593CDE" w14:textId="1F5B8BF8" w:rsidR="00381F95" w:rsidRDefault="0078713A" w:rsidP="005C23A4">
      <w:pPr>
        <w:rPr>
          <w:lang w:val="en-US"/>
        </w:rPr>
      </w:pPr>
      <w:r>
        <w:rPr>
          <w:lang w:val="en-US"/>
        </w:rPr>
        <w:t xml:space="preserve">In RAN #103, RAN plenary has approved the RAN 4 WI for NTN features </w:t>
      </w:r>
      <w:r>
        <w:rPr>
          <w:lang w:val="en-US"/>
        </w:rPr>
        <w:fldChar w:fldCharType="begin"/>
      </w:r>
      <w:r>
        <w:rPr>
          <w:lang w:val="en-US"/>
        </w:rPr>
        <w:instrText xml:space="preserve"> REF _Ref173963276 \r \h </w:instrText>
      </w:r>
      <w:r>
        <w:rPr>
          <w:lang w:val="en-US"/>
        </w:rPr>
      </w:r>
      <w:r>
        <w:rPr>
          <w:lang w:val="en-US"/>
        </w:rPr>
        <w:fldChar w:fldCharType="separate"/>
      </w:r>
      <w:r>
        <w:rPr>
          <w:lang w:val="en-US"/>
        </w:rPr>
        <w:t>[1]</w:t>
      </w:r>
      <w:r>
        <w:rPr>
          <w:lang w:val="en-US"/>
        </w:rPr>
        <w:fldChar w:fldCharType="end"/>
      </w:r>
      <w:r>
        <w:rPr>
          <w:lang w:val="en-US"/>
        </w:rPr>
        <w:t xml:space="preserve">. The WI was then updated in RAN #104 </w:t>
      </w:r>
      <w:r>
        <w:rPr>
          <w:lang w:val="en-US"/>
        </w:rPr>
        <w:fldChar w:fldCharType="begin"/>
      </w:r>
      <w:r>
        <w:rPr>
          <w:lang w:val="en-US"/>
        </w:rPr>
        <w:instrText xml:space="preserve"> REF _Ref173963266 \r \h </w:instrText>
      </w:r>
      <w:r>
        <w:rPr>
          <w:lang w:val="en-US"/>
        </w:rPr>
      </w:r>
      <w:r>
        <w:rPr>
          <w:lang w:val="en-US"/>
        </w:rPr>
        <w:fldChar w:fldCharType="separate"/>
      </w:r>
      <w:r>
        <w:rPr>
          <w:lang w:val="en-US"/>
        </w:rPr>
        <w:t>[2]</w:t>
      </w:r>
      <w:r>
        <w:rPr>
          <w:lang w:val="en-US"/>
        </w:rPr>
        <w:fldChar w:fldCharType="end"/>
      </w:r>
      <w:r>
        <w:rPr>
          <w:lang w:val="en-US"/>
        </w:rPr>
        <w:t>. One of the topics for this WI is the operation of NTN in less than 5 MHz whose objectives are presented below:</w:t>
      </w:r>
    </w:p>
    <w:p w14:paraId="7A03D950" w14:textId="57573899" w:rsidR="00A520D9" w:rsidRDefault="00A520D9" w:rsidP="005C23A4">
      <w:pPr>
        <w:rPr>
          <w:lang w:val="en-US"/>
        </w:rPr>
      </w:pPr>
    </w:p>
    <w:tbl>
      <w:tblPr>
        <w:tblStyle w:val="TableGrid"/>
        <w:tblW w:w="0" w:type="auto"/>
        <w:tblLook w:val="04A0" w:firstRow="1" w:lastRow="0" w:firstColumn="1" w:lastColumn="0" w:noHBand="0" w:noVBand="1"/>
      </w:tblPr>
      <w:tblGrid>
        <w:gridCol w:w="9617"/>
      </w:tblGrid>
      <w:tr w:rsidR="00D15EE5" w14:paraId="64F95B03" w14:textId="77777777" w:rsidTr="00D15EE5">
        <w:tc>
          <w:tcPr>
            <w:tcW w:w="9617" w:type="dxa"/>
          </w:tcPr>
          <w:p w14:paraId="72FE9703" w14:textId="77777777" w:rsidR="0078713A" w:rsidRPr="0078713A" w:rsidRDefault="0078713A" w:rsidP="0078713A">
            <w:pPr>
              <w:spacing w:line="276" w:lineRule="auto"/>
              <w:jc w:val="both"/>
              <w:rPr>
                <w:rFonts w:ascii="Yu Mincho" w:eastAsia="Yu Mincho" w:hAnsi="Yu Mincho" w:cs="Times New Roman"/>
                <w:b/>
                <w:kern w:val="2"/>
                <w:sz w:val="24"/>
                <w:szCs w:val="24"/>
                <w:lang w:eastAsia="zh-CN"/>
                <w14:ligatures w14:val="standardContextual"/>
              </w:rPr>
            </w:pPr>
            <w:r w:rsidRPr="0078713A">
              <w:rPr>
                <w:rFonts w:ascii="Yu Mincho" w:eastAsia="Yu Mincho" w:hAnsi="Yu Mincho" w:cs="Times New Roman" w:hint="eastAsia"/>
                <w:b/>
                <w:kern w:val="2"/>
                <w:sz w:val="24"/>
                <w:szCs w:val="24"/>
                <w:lang w:eastAsia="zh-CN"/>
                <w14:ligatures w14:val="standardContextual"/>
              </w:rPr>
              <w:t>Less than 5MHz for NTN</w:t>
            </w:r>
          </w:p>
          <w:p w14:paraId="2BF45291" w14:textId="77777777" w:rsidR="0078713A" w:rsidRPr="0078713A" w:rsidRDefault="0078713A" w:rsidP="0078713A">
            <w:pPr>
              <w:widowControl w:val="0"/>
              <w:numPr>
                <w:ilvl w:val="0"/>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system parameters for channel bandwidth of less than 5 MHz for NR-NTN (NR based Non-Terrestrial Networks) in FR1-NTN bands</w:t>
            </w:r>
          </w:p>
          <w:p w14:paraId="57103D8C" w14:textId="77777777" w:rsidR="0078713A" w:rsidRPr="0078713A" w:rsidRDefault="0078713A" w:rsidP="0078713A">
            <w:pPr>
              <w:widowControl w:val="0"/>
              <w:numPr>
                <w:ilvl w:val="1"/>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Consider the NR-NTN bands n255, n256, and n254</w:t>
            </w:r>
          </w:p>
          <w:p w14:paraId="2515F888" w14:textId="77777777" w:rsidR="0078713A" w:rsidRPr="0078713A" w:rsidRDefault="0078713A" w:rsidP="0078713A">
            <w:pPr>
              <w:widowControl w:val="0"/>
              <w:numPr>
                <w:ilvl w:val="1"/>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Add less than 5MHz channel bandwidth</w:t>
            </w:r>
          </w:p>
          <w:p w14:paraId="56EC369F" w14:textId="77777777" w:rsidR="0078713A" w:rsidRPr="0078713A" w:rsidRDefault="0078713A" w:rsidP="0078713A">
            <w:pPr>
              <w:widowControl w:val="0"/>
              <w:numPr>
                <w:ilvl w:val="2"/>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 xml:space="preserve"> 3MHz with the RAN1 design in Rel-18</w:t>
            </w:r>
          </w:p>
          <w:p w14:paraId="3EF85AF6" w14:textId="77777777" w:rsidR="0078713A" w:rsidRPr="0078713A" w:rsidRDefault="0078713A" w:rsidP="0078713A">
            <w:pPr>
              <w:widowControl w:val="0"/>
              <w:numPr>
                <w:ilvl w:val="1"/>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Investigate and if necessary, specify the additional synchronization (sync) raster(s) for the additional channel bandwidth</w:t>
            </w:r>
          </w:p>
          <w:p w14:paraId="58C66A1B" w14:textId="77777777" w:rsidR="0078713A" w:rsidRPr="0078713A" w:rsidRDefault="0078713A" w:rsidP="0078713A">
            <w:pPr>
              <w:widowControl w:val="0"/>
              <w:numPr>
                <w:ilvl w:val="2"/>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Leverage the work on less than 5MHz for TN</w:t>
            </w:r>
          </w:p>
          <w:p w14:paraId="4EE16660" w14:textId="77777777" w:rsidR="0078713A" w:rsidRPr="0078713A" w:rsidRDefault="0078713A" w:rsidP="0078713A">
            <w:pPr>
              <w:widowControl w:val="0"/>
              <w:numPr>
                <w:ilvl w:val="1"/>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Note: no RAN1 impact is expected</w:t>
            </w:r>
          </w:p>
          <w:p w14:paraId="38213F2D" w14:textId="77777777" w:rsidR="0078713A" w:rsidRPr="0078713A" w:rsidRDefault="0078713A" w:rsidP="0078713A">
            <w:pPr>
              <w:widowControl w:val="0"/>
              <w:numPr>
                <w:ilvl w:val="0"/>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necessary SAN RF core requirements for NR-NTN in FR1-NTN bands</w:t>
            </w:r>
          </w:p>
          <w:p w14:paraId="6E817411" w14:textId="77777777" w:rsidR="0078713A" w:rsidRPr="0078713A" w:rsidRDefault="0078713A" w:rsidP="0078713A">
            <w:pPr>
              <w:widowControl w:val="0"/>
              <w:numPr>
                <w:ilvl w:val="0"/>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necessary NR-NTN UE RF core requirements for less than 5 MHz for NR-NTN in FR1-NTN bands</w:t>
            </w:r>
          </w:p>
          <w:p w14:paraId="774E9E64" w14:textId="77777777" w:rsidR="0078713A" w:rsidRPr="0078713A" w:rsidRDefault="0078713A" w:rsidP="0078713A">
            <w:pPr>
              <w:widowControl w:val="0"/>
              <w:numPr>
                <w:ilvl w:val="1"/>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Focus on power class 3 (PC3) for Tx RF requirements</w:t>
            </w:r>
          </w:p>
          <w:p w14:paraId="1E1F6A07" w14:textId="77777777" w:rsidR="0078713A" w:rsidRPr="0078713A" w:rsidRDefault="0078713A" w:rsidP="0078713A">
            <w:pPr>
              <w:widowControl w:val="0"/>
              <w:numPr>
                <w:ilvl w:val="0"/>
                <w:numId w:val="27"/>
              </w:numPr>
              <w:spacing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necessary RRM core requirements for less than 5 MHz for NR-NTN in FR1-NTN bands</w:t>
            </w:r>
          </w:p>
          <w:p w14:paraId="36334039" w14:textId="77777777" w:rsidR="0078713A" w:rsidRPr="0078713A" w:rsidRDefault="0078713A" w:rsidP="0078713A">
            <w:pPr>
              <w:widowControl w:val="0"/>
              <w:numPr>
                <w:ilvl w:val="0"/>
                <w:numId w:val="27"/>
              </w:numPr>
              <w:spacing w:after="180" w:line="276" w:lineRule="auto"/>
              <w:rPr>
                <w:rFonts w:eastAsia="Yu Mincho" w:cs="Times New Roman"/>
                <w:kern w:val="2"/>
                <w:szCs w:val="20"/>
                <w:lang w:val="en-US" w:eastAsia="zh-CN"/>
                <w14:ligatures w14:val="standardContextual"/>
              </w:rPr>
            </w:pPr>
            <w:r w:rsidRPr="0078713A">
              <w:rPr>
                <w:rFonts w:eastAsia="Yu Mincho" w:cs="Times New Roman"/>
                <w:kern w:val="2"/>
                <w:szCs w:val="20"/>
                <w:lang w:val="en-US" w:eastAsia="zh-CN"/>
                <w14:ligatures w14:val="standardContextual"/>
              </w:rPr>
              <w:t>Specify the necessary signaling to support the above objectives</w:t>
            </w:r>
          </w:p>
          <w:p w14:paraId="20D34B38" w14:textId="77777777" w:rsidR="00D15EE5" w:rsidRDefault="00D15EE5" w:rsidP="005C23A4">
            <w:pPr>
              <w:rPr>
                <w:lang w:val="en-US"/>
              </w:rPr>
            </w:pPr>
          </w:p>
        </w:tc>
      </w:tr>
    </w:tbl>
    <w:p w14:paraId="215E925D" w14:textId="77777777" w:rsidR="00D15EE5" w:rsidRDefault="00D15EE5" w:rsidP="005C23A4">
      <w:pPr>
        <w:rPr>
          <w:lang w:val="en-US"/>
        </w:rPr>
      </w:pPr>
    </w:p>
    <w:p w14:paraId="00B4B8CB" w14:textId="30129827" w:rsidR="0060543D" w:rsidRPr="00614DD8" w:rsidRDefault="009B30DC" w:rsidP="005C23A4">
      <w:pPr>
        <w:rPr>
          <w:lang w:val="en-US"/>
        </w:rPr>
      </w:pPr>
      <w:r>
        <w:rPr>
          <w:lang w:val="en-US"/>
        </w:rPr>
        <w:t>The initial discussion was initiated in the last meeting and a WF was proposed in</w:t>
      </w:r>
      <w:r w:rsidR="009B38DC">
        <w:rPr>
          <w:lang w:val="en-US"/>
        </w:rPr>
        <w:t xml:space="preserve"> </w:t>
      </w:r>
      <w:r w:rsidR="009B38DC">
        <w:rPr>
          <w:lang w:val="en-US"/>
        </w:rPr>
        <w:fldChar w:fldCharType="begin"/>
      </w:r>
      <w:r w:rsidR="009B38DC">
        <w:rPr>
          <w:lang w:val="en-US"/>
        </w:rPr>
        <w:instrText xml:space="preserve"> REF _Ref178852530 \r \h </w:instrText>
      </w:r>
      <w:r w:rsidR="009B38DC">
        <w:rPr>
          <w:lang w:val="en-US"/>
        </w:rPr>
      </w:r>
      <w:r w:rsidR="009B38DC">
        <w:rPr>
          <w:lang w:val="en-US"/>
        </w:rPr>
        <w:fldChar w:fldCharType="separate"/>
      </w:r>
      <w:r w:rsidR="009B38DC">
        <w:rPr>
          <w:lang w:val="en-US"/>
        </w:rPr>
        <w:t>[2]</w:t>
      </w:r>
      <w:r w:rsidR="009B38DC">
        <w:rPr>
          <w:lang w:val="en-US"/>
        </w:rPr>
        <w:fldChar w:fldCharType="end"/>
      </w:r>
      <w:r w:rsidR="003649C8">
        <w:rPr>
          <w:lang w:val="en-US"/>
        </w:rPr>
        <w:t xml:space="preserve">. </w:t>
      </w:r>
      <w:r w:rsidR="0078713A">
        <w:rPr>
          <w:lang w:val="en-US"/>
        </w:rPr>
        <w:t>In this contribution we discuss some aspects related to the work of specifying less than 5 MHz operation for NTN</w:t>
      </w:r>
      <w:r w:rsidR="003649C8">
        <w:rPr>
          <w:lang w:val="en-US"/>
        </w:rPr>
        <w:t xml:space="preserve"> and provide our thoughts regarding current open issues on this WI. </w:t>
      </w:r>
    </w:p>
    <w:p w14:paraId="3021F86C" w14:textId="77777777" w:rsidR="003B659E" w:rsidRDefault="003B659E" w:rsidP="00AE56B1">
      <w:pPr>
        <w:pStyle w:val="RAN4H1"/>
        <w:rPr>
          <w:lang w:val="en-US"/>
        </w:rPr>
      </w:pPr>
      <w:bookmarkStart w:id="4" w:name="_Toc116995842"/>
      <w:r w:rsidRPr="00614DD8">
        <w:rPr>
          <w:lang w:val="en-US"/>
        </w:rPr>
        <w:t>Discussion</w:t>
      </w:r>
      <w:bookmarkEnd w:id="4"/>
    </w:p>
    <w:p w14:paraId="1444B842" w14:textId="319799B3" w:rsidR="009B38DC" w:rsidRDefault="009B38DC" w:rsidP="00D15EE5">
      <w:pPr>
        <w:rPr>
          <w:lang w:val="en-US"/>
        </w:rPr>
      </w:pPr>
      <w:r>
        <w:rPr>
          <w:lang w:val="en-US"/>
        </w:rPr>
        <w:t>In the past meeting contributions and discussions, it seems to be a consensus among the group that the RRM requirements to be most impacted by the operation with less than 5 MHz in NTN are the same impacted by the less than 5 MHz in terrestrial networks, which are:</w:t>
      </w:r>
    </w:p>
    <w:p w14:paraId="7745E64C" w14:textId="186EE958" w:rsidR="009B38DC" w:rsidRDefault="009B38DC" w:rsidP="009B38DC">
      <w:pPr>
        <w:pStyle w:val="ListParagraph"/>
        <w:numPr>
          <w:ilvl w:val="0"/>
          <w:numId w:val="29"/>
        </w:numPr>
        <w:rPr>
          <w:lang w:val="en-US"/>
        </w:rPr>
      </w:pPr>
      <w:r>
        <w:rPr>
          <w:lang w:val="en-US"/>
        </w:rPr>
        <w:t>Index detection in connected mode mobility (handovers)</w:t>
      </w:r>
    </w:p>
    <w:p w14:paraId="37E07195" w14:textId="6A69C7AC" w:rsidR="009B38DC" w:rsidRDefault="009B38DC" w:rsidP="009B38DC">
      <w:pPr>
        <w:pStyle w:val="ListParagraph"/>
        <w:numPr>
          <w:ilvl w:val="0"/>
          <w:numId w:val="29"/>
        </w:numPr>
        <w:rPr>
          <w:lang w:val="en-US"/>
        </w:rPr>
      </w:pPr>
      <w:r>
        <w:rPr>
          <w:lang w:val="en-US"/>
        </w:rPr>
        <w:t>RLM/BFD monitoring  (due to reduced bandwidth)</w:t>
      </w:r>
    </w:p>
    <w:p w14:paraId="0357361D" w14:textId="2000BB68" w:rsidR="009B38DC" w:rsidRPr="009B38DC" w:rsidRDefault="009B38DC" w:rsidP="009B38DC">
      <w:pPr>
        <w:pStyle w:val="ListParagraph"/>
        <w:numPr>
          <w:ilvl w:val="0"/>
          <w:numId w:val="29"/>
        </w:numPr>
        <w:rPr>
          <w:lang w:val="en-US"/>
        </w:rPr>
      </w:pPr>
      <w:r>
        <w:rPr>
          <w:lang w:val="en-US"/>
        </w:rPr>
        <w:t>HO delay requirements for unknown target cell in connected mode mobility</w:t>
      </w:r>
    </w:p>
    <w:p w14:paraId="5ECE16CF" w14:textId="77777777" w:rsidR="009B38DC" w:rsidRDefault="009B38DC" w:rsidP="00D15EE5">
      <w:pPr>
        <w:rPr>
          <w:lang w:val="en-US"/>
        </w:rPr>
      </w:pPr>
    </w:p>
    <w:p w14:paraId="6C3CF804" w14:textId="178134B9" w:rsidR="009B38DC" w:rsidRDefault="009B38DC" w:rsidP="00D15EE5">
      <w:pPr>
        <w:rPr>
          <w:lang w:val="en-US"/>
        </w:rPr>
      </w:pPr>
      <w:r>
        <w:rPr>
          <w:lang w:val="en-US"/>
        </w:rPr>
        <w:lastRenderedPageBreak/>
        <w:t xml:space="preserve">When we look at the WF </w:t>
      </w:r>
      <w:r>
        <w:rPr>
          <w:lang w:val="en-US"/>
        </w:rPr>
        <w:fldChar w:fldCharType="begin"/>
      </w:r>
      <w:r>
        <w:rPr>
          <w:lang w:val="en-US"/>
        </w:rPr>
        <w:instrText xml:space="preserve"> REF _Ref178852530 \r \h </w:instrText>
      </w:r>
      <w:r>
        <w:rPr>
          <w:lang w:val="en-US"/>
        </w:rPr>
      </w:r>
      <w:r>
        <w:rPr>
          <w:lang w:val="en-US"/>
        </w:rPr>
        <w:fldChar w:fldCharType="separate"/>
      </w:r>
      <w:r>
        <w:rPr>
          <w:lang w:val="en-US"/>
        </w:rPr>
        <w:t>[2]</w:t>
      </w:r>
      <w:r>
        <w:rPr>
          <w:lang w:val="en-US"/>
        </w:rPr>
        <w:fldChar w:fldCharType="end"/>
      </w:r>
      <w:r>
        <w:rPr>
          <w:lang w:val="en-US"/>
        </w:rPr>
        <w:t xml:space="preserve"> from previous meeting, there is a table which tends to evaluate which sections of the RRM specification are  to be impacted in this WI. </w:t>
      </w:r>
    </w:p>
    <w:p w14:paraId="2198CC96" w14:textId="77777777" w:rsidR="009B38DC" w:rsidRDefault="009B38DC" w:rsidP="00D15EE5">
      <w:pPr>
        <w:rPr>
          <w:lang w:val="en-US"/>
        </w:rPr>
      </w:pPr>
    </w:p>
    <w:tbl>
      <w:tblPr>
        <w:tblStyle w:val="TableGrid"/>
        <w:tblW w:w="0" w:type="auto"/>
        <w:tblLook w:val="04A0" w:firstRow="1" w:lastRow="0" w:firstColumn="1" w:lastColumn="0" w:noHBand="0" w:noVBand="1"/>
      </w:tblPr>
      <w:tblGrid>
        <w:gridCol w:w="9617"/>
      </w:tblGrid>
      <w:tr w:rsidR="009B38DC" w14:paraId="2BFC66C9" w14:textId="77777777" w:rsidTr="009B38DC">
        <w:tc>
          <w:tcPr>
            <w:tcW w:w="9617" w:type="dxa"/>
          </w:tcPr>
          <w:p w14:paraId="2D7C46FD" w14:textId="77777777" w:rsidR="009B38DC" w:rsidRPr="009B38DC" w:rsidRDefault="009B38DC" w:rsidP="009B38DC">
            <w:pPr>
              <w:rPr>
                <w:lang w:val="sv-SE"/>
              </w:rPr>
            </w:pPr>
            <w:proofErr w:type="spellStart"/>
            <w:r w:rsidRPr="009B38DC">
              <w:rPr>
                <w:lang w:val="sv-SE"/>
              </w:rPr>
              <w:t>Issue</w:t>
            </w:r>
            <w:proofErr w:type="spellEnd"/>
            <w:r w:rsidRPr="009B38DC">
              <w:rPr>
                <w:lang w:val="sv-SE"/>
              </w:rPr>
              <w:t xml:space="preserve"> 1-2-3: On </w:t>
            </w:r>
            <w:proofErr w:type="spellStart"/>
            <w:r w:rsidRPr="009B38DC">
              <w:rPr>
                <w:lang w:val="sv-SE"/>
              </w:rPr>
              <w:t>top</w:t>
            </w:r>
            <w:proofErr w:type="spellEnd"/>
            <w:r w:rsidRPr="009B38DC">
              <w:rPr>
                <w:lang w:val="sv-SE"/>
              </w:rPr>
              <w:t xml:space="preserve"> of </w:t>
            </w:r>
            <w:proofErr w:type="spellStart"/>
            <w:r w:rsidRPr="009B38DC">
              <w:rPr>
                <w:lang w:val="sv-SE"/>
              </w:rPr>
              <w:t>which</w:t>
            </w:r>
            <w:proofErr w:type="spellEnd"/>
            <w:r w:rsidRPr="009B38DC">
              <w:rPr>
                <w:lang w:val="sv-SE"/>
              </w:rPr>
              <w:t xml:space="preserve"> </w:t>
            </w:r>
            <w:proofErr w:type="spellStart"/>
            <w:r w:rsidRPr="009B38DC">
              <w:rPr>
                <w:lang w:val="sv-SE"/>
              </w:rPr>
              <w:t>requirements</w:t>
            </w:r>
            <w:proofErr w:type="spellEnd"/>
            <w:r w:rsidRPr="009B38DC">
              <w:rPr>
                <w:lang w:val="sv-SE"/>
              </w:rPr>
              <w:t xml:space="preserve"> in TS38.133 for NTN less </w:t>
            </w:r>
            <w:proofErr w:type="spellStart"/>
            <w:r w:rsidRPr="009B38DC">
              <w:rPr>
                <w:lang w:val="sv-SE"/>
              </w:rPr>
              <w:t>than</w:t>
            </w:r>
            <w:proofErr w:type="spellEnd"/>
            <w:r w:rsidRPr="009B38DC">
              <w:rPr>
                <w:lang w:val="sv-SE"/>
              </w:rPr>
              <w:t xml:space="preserve"> 5MHz</w:t>
            </w:r>
          </w:p>
          <w:p w14:paraId="13BC2637" w14:textId="77777777" w:rsidR="009B38DC" w:rsidRPr="009B38DC" w:rsidRDefault="009B38DC" w:rsidP="009B38DC">
            <w:r w:rsidRPr="009B38DC">
              <w:t>Moderator proposal:</w:t>
            </w:r>
          </w:p>
          <w:p w14:paraId="3412B857" w14:textId="77777777" w:rsidR="009B38DC" w:rsidRPr="009B38DC" w:rsidRDefault="009B38DC" w:rsidP="009B38DC">
            <w:pPr>
              <w:rPr>
                <w:bCs/>
                <w:iCs/>
              </w:rPr>
            </w:pPr>
            <w:r w:rsidRPr="009B38DC">
              <w:rPr>
                <w:bCs/>
                <w:iCs/>
              </w:rPr>
              <w:t xml:space="preserve">Companies to discuss the potential impacts based on the content in the following table. </w:t>
            </w:r>
          </w:p>
          <w:p w14:paraId="4D36A976" w14:textId="77777777" w:rsidR="009B38DC" w:rsidRPr="009B38DC" w:rsidRDefault="009B38DC" w:rsidP="009B38DC">
            <w:pPr>
              <w:rPr>
                <w:lang w:val="x-none"/>
              </w:rPr>
            </w:pPr>
            <w:r w:rsidRPr="009B38DC">
              <w:rPr>
                <w:lang w:val="x-none"/>
              </w:rPr>
              <w:t>RRM impacts summary due to spectrum less than 5MHz</w:t>
            </w:r>
          </w:p>
          <w:tbl>
            <w:tblPr>
              <w:tblW w:w="7455" w:type="dxa"/>
              <w:tblInd w:w="13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702"/>
              <w:gridCol w:w="2918"/>
              <w:gridCol w:w="2835"/>
            </w:tblGrid>
            <w:tr w:rsidR="009B38DC" w:rsidRPr="009B38DC" w14:paraId="4FE44C35" w14:textId="77777777" w:rsidTr="009B38DC">
              <w:trPr>
                <w:trHeight w:val="433"/>
              </w:trPr>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0FF520" w14:textId="77777777" w:rsidR="009B38DC" w:rsidRPr="009B38DC" w:rsidRDefault="009B38DC" w:rsidP="009B38DC">
                  <w:pPr>
                    <w:spacing w:after="0" w:line="240" w:lineRule="auto"/>
                    <w:rPr>
                      <w:lang w:val="en-US"/>
                    </w:rPr>
                  </w:pPr>
                  <w:r w:rsidRPr="009B38DC">
                    <w:rPr>
                      <w:bCs/>
                      <w:lang w:val="en-US"/>
                    </w:rPr>
                    <w:t>RRM requirements</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3B9DA0" w14:textId="77777777" w:rsidR="009B38DC" w:rsidRPr="009B38DC" w:rsidRDefault="009B38DC" w:rsidP="009B38DC">
                  <w:pPr>
                    <w:spacing w:after="0" w:line="240" w:lineRule="auto"/>
                    <w:rPr>
                      <w:lang w:val="en-US"/>
                    </w:rPr>
                  </w:pPr>
                  <w:r w:rsidRPr="009B38DC">
                    <w:rPr>
                      <w:bCs/>
                      <w:lang w:val="en-US"/>
                    </w:rPr>
                    <w:t>NTN requirements in TS38.133 v18.5.0</w:t>
                  </w:r>
                </w:p>
              </w:tc>
              <w:tc>
                <w:tcPr>
                  <w:tcW w:w="2835" w:type="dxa"/>
                  <w:tcBorders>
                    <w:top w:val="single" w:sz="6" w:space="0" w:color="000000"/>
                    <w:left w:val="single" w:sz="6" w:space="0" w:color="000000"/>
                    <w:bottom w:val="single" w:sz="6" w:space="0" w:color="000000"/>
                    <w:right w:val="single" w:sz="6" w:space="0" w:color="000000"/>
                  </w:tcBorders>
                  <w:hideMark/>
                </w:tcPr>
                <w:p w14:paraId="5A1AC429" w14:textId="77777777" w:rsidR="009B38DC" w:rsidRPr="009B38DC" w:rsidRDefault="009B38DC" w:rsidP="009B38DC">
                  <w:pPr>
                    <w:spacing w:after="0" w:line="240" w:lineRule="auto"/>
                    <w:rPr>
                      <w:bCs/>
                      <w:lang w:val="en-US"/>
                    </w:rPr>
                  </w:pPr>
                  <w:r w:rsidRPr="009B38DC">
                    <w:rPr>
                      <w:bCs/>
                      <w:lang w:val="en-US"/>
                    </w:rPr>
                    <w:t>Possible impacts if BW below 5MHz</w:t>
                  </w:r>
                </w:p>
              </w:tc>
            </w:tr>
            <w:tr w:rsidR="009B38DC" w:rsidRPr="009B38DC" w14:paraId="4D2967A4" w14:textId="77777777" w:rsidTr="009B38DC">
              <w:trPr>
                <w:trHeight w:val="572"/>
              </w:trPr>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4C7C00" w14:textId="77777777" w:rsidR="009B38DC" w:rsidRPr="009B38DC" w:rsidRDefault="009B38DC" w:rsidP="009B38DC">
                  <w:pPr>
                    <w:spacing w:after="0" w:line="240" w:lineRule="auto"/>
                    <w:rPr>
                      <w:lang w:val="en-US"/>
                    </w:rPr>
                  </w:pPr>
                  <w:r w:rsidRPr="009B38DC">
                    <w:rPr>
                      <w:bCs/>
                      <w:lang w:val="en-US"/>
                    </w:rPr>
                    <w:t>IDLE/inactive mode mobility</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3DD150" w14:textId="77777777" w:rsidR="009B38DC" w:rsidRPr="009B38DC" w:rsidRDefault="009B38DC" w:rsidP="009B38DC">
                  <w:pPr>
                    <w:spacing w:after="0" w:line="240" w:lineRule="auto"/>
                    <w:rPr>
                      <w:lang w:val="en-US"/>
                    </w:rPr>
                  </w:pPr>
                  <w:r w:rsidRPr="009B38DC">
                    <w:rPr>
                      <w:lang w:val="en-US"/>
                    </w:rPr>
                    <w:t>4.2C Cell Re-selection for NR UE for Satellite Access</w:t>
                  </w:r>
                </w:p>
              </w:tc>
              <w:tc>
                <w:tcPr>
                  <w:tcW w:w="2835" w:type="dxa"/>
                  <w:tcBorders>
                    <w:top w:val="single" w:sz="6" w:space="0" w:color="000000"/>
                    <w:left w:val="single" w:sz="6" w:space="0" w:color="000000"/>
                    <w:bottom w:val="single" w:sz="6" w:space="0" w:color="000000"/>
                    <w:right w:val="single" w:sz="6" w:space="0" w:color="000000"/>
                  </w:tcBorders>
                  <w:hideMark/>
                </w:tcPr>
                <w:p w14:paraId="2F939E37" w14:textId="77777777" w:rsidR="009B38DC" w:rsidRPr="009B38DC" w:rsidRDefault="009B38DC" w:rsidP="009B38DC">
                  <w:pPr>
                    <w:spacing w:after="0" w:line="240" w:lineRule="auto"/>
                    <w:rPr>
                      <w:lang w:val="en-US"/>
                    </w:rPr>
                  </w:pPr>
                  <w:r w:rsidRPr="009B38DC">
                    <w:rPr>
                      <w:lang w:val="en-US"/>
                    </w:rPr>
                    <w:t>TBD</w:t>
                  </w:r>
                </w:p>
              </w:tc>
            </w:tr>
            <w:tr w:rsidR="009B38DC" w:rsidRPr="009B38DC" w14:paraId="7A1A7FEB" w14:textId="77777777" w:rsidTr="009B38DC">
              <w:trPr>
                <w:trHeight w:val="811"/>
              </w:trPr>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79D93E" w14:textId="77777777" w:rsidR="009B38DC" w:rsidRPr="009B38DC" w:rsidRDefault="009B38DC" w:rsidP="009B38DC">
                  <w:pPr>
                    <w:spacing w:after="0" w:line="240" w:lineRule="auto"/>
                    <w:rPr>
                      <w:bCs/>
                      <w:lang w:val="en-US"/>
                    </w:rPr>
                  </w:pPr>
                  <w:r w:rsidRPr="009B38DC">
                    <w:rPr>
                      <w:bCs/>
                      <w:lang w:val="en-US"/>
                    </w:rPr>
                    <w:t>RRC connection mobility control</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8FF120" w14:textId="77777777" w:rsidR="009B38DC" w:rsidRPr="009B38DC" w:rsidRDefault="009B38DC" w:rsidP="009B38DC">
                  <w:pPr>
                    <w:spacing w:after="0" w:line="240" w:lineRule="auto"/>
                    <w:rPr>
                      <w:lang w:val="en-US"/>
                    </w:rPr>
                  </w:pPr>
                  <w:r w:rsidRPr="009B38DC">
                    <w:rPr>
                      <w:lang w:val="en-US"/>
                    </w:rPr>
                    <w:t>6.2C RRC Connection Mobility Control for Satellite Access</w:t>
                  </w:r>
                </w:p>
              </w:tc>
              <w:tc>
                <w:tcPr>
                  <w:tcW w:w="2835" w:type="dxa"/>
                  <w:tcBorders>
                    <w:top w:val="single" w:sz="6" w:space="0" w:color="000000"/>
                    <w:left w:val="single" w:sz="6" w:space="0" w:color="000000"/>
                    <w:bottom w:val="single" w:sz="6" w:space="0" w:color="000000"/>
                    <w:right w:val="single" w:sz="6" w:space="0" w:color="000000"/>
                  </w:tcBorders>
                  <w:hideMark/>
                </w:tcPr>
                <w:p w14:paraId="7E2204AE" w14:textId="77777777" w:rsidR="009B38DC" w:rsidRPr="009B38DC" w:rsidRDefault="009B38DC" w:rsidP="009B38DC">
                  <w:pPr>
                    <w:spacing w:after="0" w:line="240" w:lineRule="auto"/>
                    <w:rPr>
                      <w:lang w:val="en-US"/>
                    </w:rPr>
                  </w:pPr>
                  <w:r w:rsidRPr="009B38DC">
                    <w:rPr>
                      <w:lang w:val="en-US"/>
                    </w:rPr>
                    <w:t>TBD</w:t>
                  </w:r>
                </w:p>
              </w:tc>
            </w:tr>
            <w:tr w:rsidR="009B38DC" w:rsidRPr="009B38DC" w14:paraId="69771B6E" w14:textId="77777777" w:rsidTr="009B38DC">
              <w:trPr>
                <w:trHeight w:val="479"/>
              </w:trPr>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AA4C2F" w14:textId="77777777" w:rsidR="009B38DC" w:rsidRPr="009B38DC" w:rsidRDefault="009B38DC" w:rsidP="009B38DC">
                  <w:pPr>
                    <w:spacing w:after="0" w:line="240" w:lineRule="auto"/>
                    <w:rPr>
                      <w:lang w:val="en-US"/>
                    </w:rPr>
                  </w:pPr>
                  <w:r w:rsidRPr="009B38DC">
                    <w:rPr>
                      <w:bCs/>
                      <w:lang w:val="en-US"/>
                    </w:rPr>
                    <w:t>Handover</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39A3FB" w14:textId="77777777" w:rsidR="009B38DC" w:rsidRPr="009B38DC" w:rsidRDefault="009B38DC" w:rsidP="009B38DC">
                  <w:pPr>
                    <w:spacing w:after="0" w:line="240" w:lineRule="auto"/>
                    <w:rPr>
                      <w:lang w:val="en-US"/>
                    </w:rPr>
                  </w:pPr>
                  <w:r w:rsidRPr="009B38DC">
                    <w:rPr>
                      <w:lang w:val="en-US"/>
                    </w:rPr>
                    <w:t>6.1C Handover for SAN</w:t>
                  </w:r>
                </w:p>
              </w:tc>
              <w:tc>
                <w:tcPr>
                  <w:tcW w:w="2835" w:type="dxa"/>
                  <w:tcBorders>
                    <w:top w:val="single" w:sz="6" w:space="0" w:color="000000"/>
                    <w:left w:val="single" w:sz="6" w:space="0" w:color="000000"/>
                    <w:bottom w:val="single" w:sz="6" w:space="0" w:color="000000"/>
                    <w:right w:val="single" w:sz="6" w:space="0" w:color="000000"/>
                  </w:tcBorders>
                  <w:hideMark/>
                </w:tcPr>
                <w:p w14:paraId="2B54A628" w14:textId="77777777" w:rsidR="009B38DC" w:rsidRPr="009B38DC" w:rsidRDefault="009B38DC" w:rsidP="009B38DC">
                  <w:pPr>
                    <w:spacing w:after="0" w:line="240" w:lineRule="auto"/>
                    <w:rPr>
                      <w:lang w:val="en-US"/>
                    </w:rPr>
                  </w:pPr>
                  <w:r w:rsidRPr="009B38DC">
                    <w:rPr>
                      <w:lang w:val="en-US"/>
                    </w:rPr>
                    <w:t>TBD</w:t>
                  </w:r>
                </w:p>
              </w:tc>
            </w:tr>
            <w:tr w:rsidR="009B38DC" w:rsidRPr="009B38DC" w14:paraId="46B00762" w14:textId="77777777" w:rsidTr="009B38DC">
              <w:trPr>
                <w:trHeight w:val="629"/>
              </w:trPr>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642F11" w14:textId="77777777" w:rsidR="009B38DC" w:rsidRPr="009B38DC" w:rsidRDefault="009B38DC" w:rsidP="009B38DC">
                  <w:pPr>
                    <w:spacing w:after="0" w:line="240" w:lineRule="auto"/>
                    <w:rPr>
                      <w:lang w:val="en-US"/>
                    </w:rPr>
                  </w:pPr>
                  <w:r w:rsidRPr="009B38DC">
                    <w:rPr>
                      <w:bCs/>
                      <w:lang w:val="en-US"/>
                    </w:rPr>
                    <w:t>UE Tx timing, MTTD/ MRTD, timer accuracy, TA accuracy</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6E6C6E" w14:textId="77777777" w:rsidR="009B38DC" w:rsidRPr="009B38DC" w:rsidRDefault="009B38DC" w:rsidP="009B38DC">
                  <w:pPr>
                    <w:spacing w:after="0" w:line="240" w:lineRule="auto"/>
                    <w:rPr>
                      <w:lang w:val="en-US"/>
                    </w:rPr>
                  </w:pPr>
                  <w:r w:rsidRPr="009B38DC">
                    <w:rPr>
                      <w:lang w:val="en-US"/>
                    </w:rPr>
                    <w:t>7.1C, 7.2C, 7.3C</w:t>
                  </w:r>
                </w:p>
              </w:tc>
              <w:tc>
                <w:tcPr>
                  <w:tcW w:w="2835" w:type="dxa"/>
                  <w:tcBorders>
                    <w:top w:val="single" w:sz="6" w:space="0" w:color="000000"/>
                    <w:left w:val="single" w:sz="6" w:space="0" w:color="000000"/>
                    <w:bottom w:val="single" w:sz="6" w:space="0" w:color="000000"/>
                    <w:right w:val="single" w:sz="6" w:space="0" w:color="000000"/>
                  </w:tcBorders>
                  <w:hideMark/>
                </w:tcPr>
                <w:p w14:paraId="2E4275DA" w14:textId="77777777" w:rsidR="009B38DC" w:rsidRPr="009B38DC" w:rsidRDefault="009B38DC" w:rsidP="009B38DC">
                  <w:pPr>
                    <w:spacing w:after="0" w:line="240" w:lineRule="auto"/>
                    <w:rPr>
                      <w:lang w:val="en-US"/>
                    </w:rPr>
                  </w:pPr>
                  <w:r w:rsidRPr="009B38DC">
                    <w:rPr>
                      <w:lang w:val="en-US"/>
                    </w:rPr>
                    <w:t>TBD</w:t>
                  </w:r>
                </w:p>
              </w:tc>
            </w:tr>
            <w:tr w:rsidR="009B38DC" w:rsidRPr="009B38DC" w14:paraId="0D0EDBA8" w14:textId="77777777" w:rsidTr="009B38DC">
              <w:trPr>
                <w:trHeight w:val="958"/>
              </w:trPr>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18169C" w14:textId="77777777" w:rsidR="009B38DC" w:rsidRPr="009B38DC" w:rsidRDefault="009B38DC" w:rsidP="009B38DC">
                  <w:pPr>
                    <w:spacing w:after="0" w:line="240" w:lineRule="auto"/>
                    <w:rPr>
                      <w:lang w:val="en-US"/>
                    </w:rPr>
                  </w:pPr>
                  <w:r w:rsidRPr="009B38DC">
                    <w:rPr>
                      <w:bCs/>
                      <w:lang w:val="en-US"/>
                    </w:rPr>
                    <w:t>RLM</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2860F9" w14:textId="77777777" w:rsidR="009B38DC" w:rsidRPr="009B38DC" w:rsidRDefault="009B38DC" w:rsidP="009B38DC">
                  <w:pPr>
                    <w:spacing w:after="0" w:line="240" w:lineRule="auto"/>
                    <w:rPr>
                      <w:lang w:val="en-US"/>
                    </w:rPr>
                  </w:pPr>
                  <w:r w:rsidRPr="009B38DC">
                    <w:rPr>
                      <w:lang w:val="en-US"/>
                    </w:rPr>
                    <w:t>8.1C Radio Link Monitoring for Satellite Access</w:t>
                  </w:r>
                </w:p>
                <w:p w14:paraId="5D1D056D" w14:textId="77777777" w:rsidR="009B38DC" w:rsidRPr="009B38DC" w:rsidRDefault="009B38DC" w:rsidP="009B38DC">
                  <w:pPr>
                    <w:spacing w:after="0" w:line="240" w:lineRule="auto"/>
                    <w:rPr>
                      <w:lang w:val="en-US"/>
                    </w:rPr>
                  </w:pPr>
                  <w:r w:rsidRPr="009B38DC">
                    <w:rPr>
                      <w:lang w:val="en-US"/>
                    </w:rPr>
                    <w:t xml:space="preserve">8.5C Link Recovery Procedures for Satellite Access </w:t>
                  </w:r>
                </w:p>
              </w:tc>
              <w:tc>
                <w:tcPr>
                  <w:tcW w:w="2835" w:type="dxa"/>
                  <w:tcBorders>
                    <w:top w:val="single" w:sz="6" w:space="0" w:color="000000"/>
                    <w:left w:val="single" w:sz="6" w:space="0" w:color="000000"/>
                    <w:bottom w:val="single" w:sz="6" w:space="0" w:color="000000"/>
                    <w:right w:val="single" w:sz="6" w:space="0" w:color="000000"/>
                  </w:tcBorders>
                  <w:hideMark/>
                </w:tcPr>
                <w:p w14:paraId="3D65FFB0" w14:textId="77777777" w:rsidR="009B38DC" w:rsidRPr="009B38DC" w:rsidRDefault="009B38DC" w:rsidP="009B38DC">
                  <w:pPr>
                    <w:spacing w:after="0" w:line="240" w:lineRule="auto"/>
                    <w:rPr>
                      <w:lang w:val="en-US"/>
                    </w:rPr>
                  </w:pPr>
                  <w:r w:rsidRPr="009B38DC">
                    <w:rPr>
                      <w:lang w:val="en-US"/>
                    </w:rPr>
                    <w:t>TBD</w:t>
                  </w:r>
                </w:p>
              </w:tc>
            </w:tr>
            <w:tr w:rsidR="009B38DC" w:rsidRPr="009B38DC" w14:paraId="053DFFA2" w14:textId="77777777" w:rsidTr="009B38DC">
              <w:trPr>
                <w:trHeight w:val="431"/>
              </w:trPr>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0D71E8" w14:textId="77777777" w:rsidR="009B38DC" w:rsidRPr="009B38DC" w:rsidRDefault="009B38DC" w:rsidP="009B38DC">
                  <w:pPr>
                    <w:spacing w:after="0" w:line="240" w:lineRule="auto"/>
                    <w:rPr>
                      <w:bCs/>
                      <w:lang w:val="en-US"/>
                    </w:rPr>
                  </w:pPr>
                  <w:r w:rsidRPr="009B38DC">
                    <w:rPr>
                      <w:bCs/>
                      <w:lang w:val="en-US"/>
                    </w:rPr>
                    <w:t>Others, if any</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D79BC3" w14:textId="77777777" w:rsidR="009B38DC" w:rsidRPr="009B38DC" w:rsidRDefault="009B38DC" w:rsidP="009B38DC">
                  <w:pPr>
                    <w:spacing w:after="0" w:line="240" w:lineRule="auto"/>
                    <w:rPr>
                      <w:lang w:val="en-US"/>
                    </w:rPr>
                  </w:pPr>
                </w:p>
              </w:tc>
              <w:tc>
                <w:tcPr>
                  <w:tcW w:w="2835" w:type="dxa"/>
                  <w:tcBorders>
                    <w:top w:val="single" w:sz="6" w:space="0" w:color="000000"/>
                    <w:left w:val="single" w:sz="6" w:space="0" w:color="000000"/>
                    <w:bottom w:val="single" w:sz="6" w:space="0" w:color="000000"/>
                    <w:right w:val="single" w:sz="6" w:space="0" w:color="000000"/>
                  </w:tcBorders>
                </w:tcPr>
                <w:p w14:paraId="4E7F5072" w14:textId="77777777" w:rsidR="009B38DC" w:rsidRPr="009B38DC" w:rsidRDefault="009B38DC" w:rsidP="009B38DC">
                  <w:pPr>
                    <w:spacing w:after="0" w:line="240" w:lineRule="auto"/>
                    <w:rPr>
                      <w:lang w:val="en-US"/>
                    </w:rPr>
                  </w:pPr>
                </w:p>
              </w:tc>
            </w:tr>
          </w:tbl>
          <w:p w14:paraId="78FD6443" w14:textId="77777777" w:rsidR="009B38DC" w:rsidRDefault="009B38DC" w:rsidP="00D15EE5">
            <w:pPr>
              <w:rPr>
                <w:lang w:val="en-US"/>
              </w:rPr>
            </w:pPr>
          </w:p>
        </w:tc>
      </w:tr>
    </w:tbl>
    <w:p w14:paraId="16F5D5D5" w14:textId="77777777" w:rsidR="009B38DC" w:rsidRDefault="009B38DC" w:rsidP="00D15EE5">
      <w:pPr>
        <w:rPr>
          <w:lang w:val="en-US"/>
        </w:rPr>
      </w:pPr>
    </w:p>
    <w:p w14:paraId="78594781" w14:textId="0DA0A6E7" w:rsidR="009B38DC" w:rsidRDefault="00A957E7" w:rsidP="00D15EE5">
      <w:pPr>
        <w:rPr>
          <w:lang w:val="en-US"/>
        </w:rPr>
      </w:pPr>
      <w:r>
        <w:rPr>
          <w:lang w:val="en-US"/>
        </w:rPr>
        <w:t xml:space="preserve">In order to optimize the </w:t>
      </w:r>
      <w:proofErr w:type="gramStart"/>
      <w:r>
        <w:rPr>
          <w:lang w:val="en-US"/>
        </w:rPr>
        <w:t>work flow</w:t>
      </w:r>
      <w:proofErr w:type="gramEnd"/>
      <w:r>
        <w:rPr>
          <w:lang w:val="en-US"/>
        </w:rPr>
        <w:t xml:space="preserve"> and to make the WI more productive and efficient, we propose that RAN4 narrows down the focus of the work tor the requirements which some impact is already known, which would not preclude that other requirements are also impacted if an impact is identified:</w:t>
      </w:r>
    </w:p>
    <w:p w14:paraId="2908771B" w14:textId="355F249F" w:rsidR="00A957E7" w:rsidRDefault="00A957E7" w:rsidP="00A957E7">
      <w:pPr>
        <w:pStyle w:val="RAN4proposal"/>
        <w:rPr>
          <w:lang w:val="en-US"/>
        </w:rPr>
      </w:pPr>
      <w:bookmarkStart w:id="5" w:name="_Toc179195167"/>
      <w:r>
        <w:rPr>
          <w:lang w:val="en-US"/>
        </w:rPr>
        <w:t>Prioritize the discussion of the following requirements for less than 5 MHz operation in NTN.</w:t>
      </w:r>
      <w:bookmarkEnd w:id="5"/>
      <w:r>
        <w:rPr>
          <w:lang w:val="en-US"/>
        </w:rPr>
        <w:t xml:space="preserve"> </w:t>
      </w:r>
    </w:p>
    <w:p w14:paraId="29651D28" w14:textId="0419703C" w:rsidR="008247F5" w:rsidRDefault="008247F5" w:rsidP="008247F5">
      <w:pPr>
        <w:pStyle w:val="RAN4proposal"/>
        <w:numPr>
          <w:ilvl w:val="1"/>
          <w:numId w:val="7"/>
        </w:numPr>
        <w:rPr>
          <w:lang w:val="en-US"/>
        </w:rPr>
      </w:pPr>
      <w:bookmarkStart w:id="6" w:name="_Toc179195168"/>
      <w:r>
        <w:rPr>
          <w:lang w:val="en-US"/>
        </w:rPr>
        <w:t>Index detection in connected mode measurements (intra and inter-frequency measurements)</w:t>
      </w:r>
      <w:bookmarkEnd w:id="6"/>
    </w:p>
    <w:p w14:paraId="381E80AA" w14:textId="2F138352" w:rsidR="008247F5" w:rsidRDefault="008247F5" w:rsidP="008247F5">
      <w:pPr>
        <w:pStyle w:val="RAN4proposal"/>
        <w:numPr>
          <w:ilvl w:val="1"/>
          <w:numId w:val="7"/>
        </w:numPr>
        <w:rPr>
          <w:lang w:val="en-US"/>
        </w:rPr>
      </w:pPr>
      <w:bookmarkStart w:id="7" w:name="_Toc179195169"/>
      <w:r>
        <w:rPr>
          <w:lang w:val="en-US"/>
        </w:rPr>
        <w:t>RLM/BFD monitoring</w:t>
      </w:r>
      <w:bookmarkEnd w:id="7"/>
    </w:p>
    <w:p w14:paraId="49A4029C" w14:textId="4BA3DA48" w:rsidR="008247F5" w:rsidRPr="008247F5" w:rsidRDefault="008247F5" w:rsidP="008247F5">
      <w:pPr>
        <w:pStyle w:val="RAN4proposal"/>
        <w:numPr>
          <w:ilvl w:val="1"/>
          <w:numId w:val="7"/>
        </w:numPr>
        <w:rPr>
          <w:lang w:val="en-US"/>
        </w:rPr>
      </w:pPr>
      <w:bookmarkStart w:id="8" w:name="_Toc179195170"/>
      <w:r>
        <w:rPr>
          <w:lang w:val="en-US"/>
        </w:rPr>
        <w:t>T</w:t>
      </w:r>
      <w:r w:rsidRPr="008247F5">
        <w:rPr>
          <w:rFonts w:cs="Times New Roman"/>
          <w:vertAlign w:val="subscript"/>
          <w:lang w:val="en-US"/>
        </w:rPr>
        <w:t>Δ</w:t>
      </w:r>
      <w:r>
        <w:rPr>
          <w:lang w:val="en-US"/>
        </w:rPr>
        <w:t xml:space="preserve"> in HO delay requirements</w:t>
      </w:r>
      <w:bookmarkEnd w:id="8"/>
    </w:p>
    <w:p w14:paraId="3B175BF7" w14:textId="77777777" w:rsidR="00A957E7" w:rsidRPr="00A957E7" w:rsidRDefault="00A957E7" w:rsidP="00A957E7">
      <w:pPr>
        <w:rPr>
          <w:lang w:val="en-US"/>
        </w:rPr>
      </w:pPr>
    </w:p>
    <w:p w14:paraId="236E783C" w14:textId="3EB12A26" w:rsidR="009B38DC" w:rsidRDefault="008247F5" w:rsidP="008247F5">
      <w:pPr>
        <w:pStyle w:val="RAN4H2"/>
        <w:rPr>
          <w:lang w:val="en-US"/>
        </w:rPr>
      </w:pPr>
      <w:r>
        <w:rPr>
          <w:lang w:val="en-US"/>
        </w:rPr>
        <w:t>Index detection requirements</w:t>
      </w:r>
    </w:p>
    <w:p w14:paraId="337E2AE6" w14:textId="77777777" w:rsidR="006B537A" w:rsidRDefault="008247F5" w:rsidP="008247F5">
      <w:pPr>
        <w:rPr>
          <w:lang w:val="en-US"/>
        </w:rPr>
      </w:pPr>
      <w:r>
        <w:rPr>
          <w:lang w:val="en-US"/>
        </w:rPr>
        <w:t xml:space="preserve">Concerning the requirements for index detection in operation with less than 5 MHz in NTN (clauses 9.2C and 9.3C in TS 38.133), the principles adopted for terrestrial operations shall be maintained. As discussed in </w:t>
      </w:r>
      <w:proofErr w:type="gramStart"/>
      <w:r>
        <w:rPr>
          <w:lang w:val="en-US"/>
        </w:rPr>
        <w:t>details</w:t>
      </w:r>
      <w:proofErr w:type="gramEnd"/>
      <w:r>
        <w:rPr>
          <w:lang w:val="en-US"/>
        </w:rPr>
        <w:t xml:space="preserve"> in </w:t>
      </w:r>
      <w:r w:rsidR="00D51D4A">
        <w:rPr>
          <w:lang w:val="en-US"/>
        </w:rPr>
        <w:fldChar w:fldCharType="begin"/>
      </w:r>
      <w:r w:rsidR="00D51D4A">
        <w:rPr>
          <w:lang w:val="en-US"/>
        </w:rPr>
        <w:instrText xml:space="preserve"> REF _Ref178856931 \r \h </w:instrText>
      </w:r>
      <w:r w:rsidR="00D51D4A">
        <w:rPr>
          <w:lang w:val="en-US"/>
        </w:rPr>
      </w:r>
      <w:r w:rsidR="00D51D4A">
        <w:rPr>
          <w:lang w:val="en-US"/>
        </w:rPr>
        <w:fldChar w:fldCharType="separate"/>
      </w:r>
      <w:r w:rsidR="00D51D4A">
        <w:rPr>
          <w:lang w:val="en-US"/>
        </w:rPr>
        <w:t>[3]</w:t>
      </w:r>
      <w:r w:rsidR="00D51D4A">
        <w:rPr>
          <w:lang w:val="en-US"/>
        </w:rPr>
        <w:fldChar w:fldCharType="end"/>
      </w:r>
      <w:r w:rsidR="00D51D4A">
        <w:rPr>
          <w:lang w:val="en-US"/>
        </w:rPr>
        <w:t xml:space="preserve"> and </w:t>
      </w:r>
      <w:r w:rsidR="00D51D4A">
        <w:rPr>
          <w:lang w:val="en-US"/>
        </w:rPr>
        <w:fldChar w:fldCharType="begin"/>
      </w:r>
      <w:r w:rsidR="00D51D4A">
        <w:rPr>
          <w:lang w:val="en-US"/>
        </w:rPr>
        <w:instrText xml:space="preserve"> REF _Ref178856938 \r \h </w:instrText>
      </w:r>
      <w:r w:rsidR="00D51D4A">
        <w:rPr>
          <w:lang w:val="en-US"/>
        </w:rPr>
      </w:r>
      <w:r w:rsidR="00D51D4A">
        <w:rPr>
          <w:lang w:val="en-US"/>
        </w:rPr>
        <w:fldChar w:fldCharType="separate"/>
      </w:r>
      <w:r w:rsidR="00D51D4A">
        <w:rPr>
          <w:lang w:val="en-US"/>
        </w:rPr>
        <w:t>[4]</w:t>
      </w:r>
      <w:r w:rsidR="00D51D4A">
        <w:rPr>
          <w:lang w:val="en-US"/>
        </w:rPr>
        <w:fldChar w:fldCharType="end"/>
      </w:r>
      <w:r w:rsidR="00D51D4A">
        <w:rPr>
          <w:lang w:val="en-US"/>
        </w:rPr>
        <w:t xml:space="preserve">, the main change </w:t>
      </w:r>
      <w:r w:rsidR="00826CCF">
        <w:rPr>
          <w:lang w:val="en-US"/>
        </w:rPr>
        <w:t xml:space="preserve">in the index detection of neighbor cells is caused by PBCH puncturing. Because of the puncturing, the UE is allowed more time to complete cell index detection and therefore the time for detection has been enlarged by considering the UE might need more samples to complete the measurements. </w:t>
      </w:r>
      <w:r w:rsidR="006B537A">
        <w:rPr>
          <w:lang w:val="en-US"/>
        </w:rPr>
        <w:t>The following agreement was made for the less than 5MHz operation in terrestrial networks:</w:t>
      </w:r>
    </w:p>
    <w:p w14:paraId="2D59456F" w14:textId="77777777" w:rsidR="006B537A" w:rsidRDefault="006B537A" w:rsidP="008247F5">
      <w:pPr>
        <w:rPr>
          <w:lang w:val="en-US"/>
        </w:rPr>
      </w:pPr>
    </w:p>
    <w:tbl>
      <w:tblPr>
        <w:tblStyle w:val="TableGrid"/>
        <w:tblW w:w="0" w:type="auto"/>
        <w:tblLook w:val="04A0" w:firstRow="1" w:lastRow="0" w:firstColumn="1" w:lastColumn="0" w:noHBand="0" w:noVBand="1"/>
      </w:tblPr>
      <w:tblGrid>
        <w:gridCol w:w="9617"/>
      </w:tblGrid>
      <w:tr w:rsidR="006B537A" w14:paraId="51533661" w14:textId="77777777" w:rsidTr="006B537A">
        <w:tc>
          <w:tcPr>
            <w:tcW w:w="9617" w:type="dxa"/>
          </w:tcPr>
          <w:p w14:paraId="0C3BDFDC" w14:textId="77777777" w:rsidR="006B537A" w:rsidRPr="006B537A" w:rsidRDefault="006B537A" w:rsidP="006B537A">
            <w:pPr>
              <w:spacing w:after="180"/>
              <w:rPr>
                <w:rFonts w:eastAsia="Times New Roman" w:cs="Times New Roman"/>
                <w:szCs w:val="20"/>
                <w:highlight w:val="green"/>
                <w:lang w:eastAsia="zh-CN"/>
              </w:rPr>
            </w:pPr>
            <w:r w:rsidRPr="006B537A">
              <w:rPr>
                <w:rFonts w:eastAsia="Times New Roman" w:cs="Times New Roman"/>
                <w:b/>
                <w:szCs w:val="20"/>
                <w:highlight w:val="green"/>
                <w:lang w:eastAsia="zh-CN"/>
              </w:rPr>
              <w:lastRenderedPageBreak/>
              <w:t>Agreement</w:t>
            </w:r>
            <w:r w:rsidRPr="006B537A">
              <w:rPr>
                <w:rFonts w:eastAsia="Times New Roman" w:cs="Times New Roman"/>
                <w:szCs w:val="20"/>
                <w:highlight w:val="green"/>
                <w:lang w:eastAsia="zh-CN"/>
              </w:rPr>
              <w:t>:</w:t>
            </w:r>
          </w:p>
          <w:p w14:paraId="7007C014" w14:textId="77777777" w:rsidR="006B537A" w:rsidRPr="006B537A" w:rsidRDefault="006B537A" w:rsidP="006B537A">
            <w:pPr>
              <w:numPr>
                <w:ilvl w:val="0"/>
                <w:numId w:val="30"/>
              </w:numPr>
              <w:spacing w:after="180"/>
              <w:rPr>
                <w:rFonts w:eastAsia="Times New Roman" w:cs="Times New Roman"/>
                <w:szCs w:val="20"/>
                <w:lang w:val="en-US" w:eastAsia="ja-JP"/>
              </w:rPr>
            </w:pPr>
            <w:r w:rsidRPr="006B537A">
              <w:rPr>
                <w:rFonts w:eastAsia="Times New Roman" w:cs="Times New Roman"/>
                <w:szCs w:val="20"/>
                <w:lang w:val="en-US" w:eastAsia="ja-JP"/>
              </w:rPr>
              <w:t>SSB index identification delay</w:t>
            </w:r>
          </w:p>
          <w:p w14:paraId="7460B234" w14:textId="77777777" w:rsidR="006B537A" w:rsidRPr="006B537A" w:rsidRDefault="006B537A" w:rsidP="006B537A">
            <w:pPr>
              <w:numPr>
                <w:ilvl w:val="1"/>
                <w:numId w:val="30"/>
              </w:numPr>
              <w:spacing w:after="180"/>
              <w:rPr>
                <w:rFonts w:eastAsia="Times New Roman" w:cs="Times New Roman"/>
                <w:szCs w:val="20"/>
                <w:lang w:val="en-US" w:eastAsia="ja-JP"/>
              </w:rPr>
            </w:pPr>
            <w:r w:rsidRPr="006B537A">
              <w:rPr>
                <w:rFonts w:eastAsia="Times New Roman" w:cs="Times New Roman"/>
                <w:szCs w:val="20"/>
                <w:lang w:val="en-US" w:eastAsia="ja-JP"/>
              </w:rPr>
              <w:t>Unknown intra-frequency cell (Es/</w:t>
            </w:r>
            <w:proofErr w:type="spellStart"/>
            <w:r w:rsidRPr="006B537A">
              <w:rPr>
                <w:rFonts w:eastAsia="Times New Roman" w:cs="Times New Roman"/>
                <w:szCs w:val="20"/>
                <w:lang w:val="en-US" w:eastAsia="ja-JP"/>
              </w:rPr>
              <w:t>Iot</w:t>
            </w:r>
            <w:proofErr w:type="spellEnd"/>
            <w:r w:rsidRPr="006B537A">
              <w:rPr>
                <w:rFonts w:eastAsia="Times New Roman" w:cs="Times New Roman"/>
                <w:szCs w:val="20"/>
                <w:lang w:val="en-US" w:eastAsia="ja-JP"/>
              </w:rPr>
              <w:t>≥-6 dB): [3+4] samples</w:t>
            </w:r>
          </w:p>
          <w:p w14:paraId="233C09DD" w14:textId="3CA1674F" w:rsidR="006B537A" w:rsidRPr="006B537A" w:rsidRDefault="006B537A" w:rsidP="006B537A">
            <w:pPr>
              <w:pStyle w:val="ListParagraph"/>
              <w:numPr>
                <w:ilvl w:val="1"/>
                <w:numId w:val="30"/>
              </w:numPr>
              <w:rPr>
                <w:lang w:val="en-US"/>
              </w:rPr>
            </w:pPr>
            <w:r w:rsidRPr="006B537A">
              <w:rPr>
                <w:rFonts w:eastAsia="Times New Roman" w:cs="Times New Roman"/>
                <w:szCs w:val="20"/>
                <w:lang w:val="en-US" w:eastAsia="ja-JP"/>
              </w:rPr>
              <w:t>Unknown inter-frequency cell (Es/</w:t>
            </w:r>
            <w:proofErr w:type="spellStart"/>
            <w:r w:rsidRPr="006B537A">
              <w:rPr>
                <w:rFonts w:eastAsia="Times New Roman" w:cs="Times New Roman"/>
                <w:szCs w:val="20"/>
                <w:lang w:val="en-US" w:eastAsia="ja-JP"/>
              </w:rPr>
              <w:t>Iot</w:t>
            </w:r>
            <w:proofErr w:type="spellEnd"/>
            <w:r w:rsidRPr="006B537A">
              <w:rPr>
                <w:rFonts w:eastAsia="Times New Roman" w:cs="Times New Roman"/>
                <w:szCs w:val="20"/>
                <w:lang w:val="en-US" w:eastAsia="ja-JP"/>
              </w:rPr>
              <w:t>≥-4 dB): [3+3] samples</w:t>
            </w:r>
          </w:p>
        </w:tc>
      </w:tr>
    </w:tbl>
    <w:p w14:paraId="0E8E6E5F" w14:textId="32564ABE" w:rsidR="008247F5" w:rsidRPr="008247F5" w:rsidRDefault="00826CCF" w:rsidP="008247F5">
      <w:pPr>
        <w:rPr>
          <w:lang w:val="en-US"/>
        </w:rPr>
      </w:pPr>
      <w:r>
        <w:rPr>
          <w:lang w:val="en-US"/>
        </w:rPr>
        <w:t xml:space="preserve"> </w:t>
      </w:r>
    </w:p>
    <w:p w14:paraId="151F56BF" w14:textId="31D21CD2" w:rsidR="009B38DC" w:rsidRDefault="006B537A" w:rsidP="00D15EE5">
      <w:pPr>
        <w:rPr>
          <w:lang w:val="en-US"/>
        </w:rPr>
      </w:pPr>
      <w:r>
        <w:rPr>
          <w:lang w:val="en-US"/>
        </w:rPr>
        <w:t xml:space="preserve">For NTN, the same principle </w:t>
      </w:r>
      <w:proofErr w:type="gramStart"/>
      <w:r>
        <w:rPr>
          <w:lang w:val="en-US"/>
        </w:rPr>
        <w:t>applies:</w:t>
      </w:r>
      <w:proofErr w:type="gramEnd"/>
      <w:r>
        <w:rPr>
          <w:lang w:val="en-US"/>
        </w:rPr>
        <w:t xml:space="preserve"> because of the PBCH puncturing, when 12 PRBs are used, the number of samples need to be enlarged. </w:t>
      </w:r>
    </w:p>
    <w:p w14:paraId="2DB3D868" w14:textId="6F105902" w:rsidR="006B537A" w:rsidRDefault="006B537A" w:rsidP="00D15EE5">
      <w:pPr>
        <w:rPr>
          <w:lang w:val="en-US"/>
        </w:rPr>
      </w:pPr>
      <w:r>
        <w:rPr>
          <w:lang w:val="en-US"/>
        </w:rPr>
        <w:t>Therefore, we propose:</w:t>
      </w:r>
    </w:p>
    <w:p w14:paraId="7EB37FDD" w14:textId="193FF239" w:rsidR="006B537A" w:rsidRDefault="006B537A" w:rsidP="006B537A">
      <w:pPr>
        <w:pStyle w:val="RAN4proposal"/>
        <w:rPr>
          <w:lang w:val="en-US"/>
        </w:rPr>
      </w:pPr>
      <w:bookmarkStart w:id="9" w:name="_Toc179195171"/>
      <w:r>
        <w:rPr>
          <w:lang w:val="en-US"/>
        </w:rPr>
        <w:t xml:space="preserve">For measurements towards a target cell with 12-PRBs SSB, the </w:t>
      </w:r>
      <w:proofErr w:type="gramStart"/>
      <w:r>
        <w:rPr>
          <w:lang w:val="en-US"/>
        </w:rPr>
        <w:t>time period</w:t>
      </w:r>
      <w:proofErr w:type="gramEnd"/>
      <w:r>
        <w:rPr>
          <w:lang w:val="en-US"/>
        </w:rPr>
        <w:t xml:space="preserve"> for time index detection shall follow TN agreements, i.e.:</w:t>
      </w:r>
      <w:bookmarkEnd w:id="9"/>
    </w:p>
    <w:p w14:paraId="520A7A91" w14:textId="04231D14" w:rsidR="006B537A" w:rsidRPr="006B537A" w:rsidRDefault="006B537A" w:rsidP="006B537A">
      <w:pPr>
        <w:pStyle w:val="RAN4proposal"/>
        <w:numPr>
          <w:ilvl w:val="1"/>
          <w:numId w:val="7"/>
        </w:numPr>
        <w:rPr>
          <w:lang w:val="en-US" w:eastAsia="ja-JP"/>
        </w:rPr>
      </w:pPr>
      <w:bookmarkStart w:id="10" w:name="_Toc179195172"/>
      <w:r w:rsidRPr="006B537A">
        <w:rPr>
          <w:lang w:val="en-US" w:eastAsia="ja-JP"/>
        </w:rPr>
        <w:t>Unknown intra-frequency cell [3+4] samples</w:t>
      </w:r>
      <w:bookmarkEnd w:id="10"/>
    </w:p>
    <w:p w14:paraId="2F152DCD" w14:textId="4C235FE8" w:rsidR="006B537A" w:rsidRPr="006B537A" w:rsidRDefault="006B537A" w:rsidP="006B537A">
      <w:pPr>
        <w:pStyle w:val="RAN4proposal"/>
        <w:numPr>
          <w:ilvl w:val="1"/>
          <w:numId w:val="7"/>
        </w:numPr>
        <w:rPr>
          <w:lang w:val="en-US"/>
        </w:rPr>
      </w:pPr>
      <w:bookmarkStart w:id="11" w:name="_Toc179195173"/>
      <w:r w:rsidRPr="006B537A">
        <w:rPr>
          <w:lang w:val="en-US" w:eastAsia="ja-JP"/>
        </w:rPr>
        <w:t>Unknown inter-frequency cell [3+3] samples</w:t>
      </w:r>
      <w:bookmarkEnd w:id="11"/>
    </w:p>
    <w:p w14:paraId="11AD5DAE" w14:textId="77777777" w:rsidR="006B537A" w:rsidRDefault="006B537A" w:rsidP="00D15EE5">
      <w:pPr>
        <w:rPr>
          <w:lang w:val="en-US"/>
        </w:rPr>
      </w:pPr>
    </w:p>
    <w:p w14:paraId="00ED7800" w14:textId="77777777" w:rsidR="009B38DC" w:rsidRDefault="009B38DC" w:rsidP="00D15EE5">
      <w:pPr>
        <w:rPr>
          <w:lang w:val="en-US"/>
        </w:rPr>
      </w:pPr>
    </w:p>
    <w:p w14:paraId="6DE052EA" w14:textId="77777777" w:rsidR="00935BF0" w:rsidRDefault="006B537A" w:rsidP="00D15EE5">
      <w:pPr>
        <w:rPr>
          <w:lang w:val="en-US"/>
        </w:rPr>
      </w:pPr>
      <w:r>
        <w:rPr>
          <w:lang w:val="en-US"/>
        </w:rPr>
        <w:t xml:space="preserve">One practical aspect of the proposal above is that for most cases, in TN, several tables were implemented for updating this requirement for different scenarios. This has created </w:t>
      </w:r>
      <w:proofErr w:type="gramStart"/>
      <w:r>
        <w:rPr>
          <w:lang w:val="en-US"/>
        </w:rPr>
        <w:t>a large number of</w:t>
      </w:r>
      <w:proofErr w:type="gramEnd"/>
      <w:r>
        <w:rPr>
          <w:lang w:val="en-US"/>
        </w:rPr>
        <w:t xml:space="preserve"> tables to be maintained, and also makes it difficult to combine features. For example, if a new table is crated for Time index </w:t>
      </w:r>
      <w:proofErr w:type="spellStart"/>
      <w:r>
        <w:rPr>
          <w:lang w:val="en-US"/>
        </w:rPr>
        <w:t>indetification</w:t>
      </w:r>
      <w:proofErr w:type="spellEnd"/>
      <w:r>
        <w:rPr>
          <w:lang w:val="en-US"/>
        </w:rPr>
        <w:t xml:space="preserve"> for less than 5 MHz in NTN, then </w:t>
      </w:r>
      <w:r w:rsidR="00935BF0">
        <w:rPr>
          <w:lang w:val="en-US"/>
        </w:rPr>
        <w:t xml:space="preserve">it might make more difficult to utilize </w:t>
      </w:r>
      <w:r>
        <w:rPr>
          <w:lang w:val="en-US"/>
        </w:rPr>
        <w:t>5 MHz operation with other features in the future (which would require new different table</w:t>
      </w:r>
      <w:r w:rsidR="00935BF0">
        <w:rPr>
          <w:lang w:val="en-US"/>
        </w:rPr>
        <w:t>s, one for each combination</w:t>
      </w:r>
      <w:r>
        <w:rPr>
          <w:lang w:val="en-US"/>
        </w:rPr>
        <w:t>).</w:t>
      </w:r>
      <w:r w:rsidR="00935BF0">
        <w:rPr>
          <w:lang w:val="en-US"/>
        </w:rPr>
        <w:t xml:space="preserve"> The specification practices in RAN4 </w:t>
      </w:r>
      <w:proofErr w:type="gramStart"/>
      <w:r w:rsidR="00935BF0">
        <w:rPr>
          <w:lang w:val="en-US"/>
        </w:rPr>
        <w:t>has</w:t>
      </w:r>
      <w:proofErr w:type="gramEnd"/>
      <w:r w:rsidR="00935BF0">
        <w:rPr>
          <w:lang w:val="en-US"/>
        </w:rPr>
        <w:t xml:space="preserve"> also been under scrutiny and review, as RAN4 tries to improve the quality of its specification to avoid too much repetition and unnecessary enlarging of the specification document. Based on this, we propose that:</w:t>
      </w:r>
    </w:p>
    <w:p w14:paraId="09EF42D2" w14:textId="77777777" w:rsidR="00935BF0" w:rsidRDefault="00935BF0" w:rsidP="00935BF0">
      <w:pPr>
        <w:pStyle w:val="RAN4proposal"/>
        <w:rPr>
          <w:lang w:val="en-US"/>
        </w:rPr>
      </w:pPr>
      <w:bookmarkStart w:id="12" w:name="_Toc179195174"/>
      <w:r>
        <w:rPr>
          <w:lang w:val="en-US"/>
        </w:rPr>
        <w:t xml:space="preserve">For time index identification (intra and inter frequency) utilize the existing tables for NTN requirements to introduce the new requirements for less than 5 </w:t>
      </w:r>
      <w:proofErr w:type="spellStart"/>
      <w:r>
        <w:rPr>
          <w:lang w:val="en-US"/>
        </w:rPr>
        <w:t>MHz.</w:t>
      </w:r>
      <w:bookmarkEnd w:id="12"/>
      <w:proofErr w:type="spellEnd"/>
      <w:r>
        <w:rPr>
          <w:lang w:val="en-US"/>
        </w:rPr>
        <w:t xml:space="preserve"> </w:t>
      </w:r>
    </w:p>
    <w:p w14:paraId="6711AC14" w14:textId="77777777" w:rsidR="009B38DC" w:rsidRDefault="009B38DC" w:rsidP="00D15EE5">
      <w:pPr>
        <w:rPr>
          <w:lang w:val="en-US"/>
        </w:rPr>
      </w:pPr>
    </w:p>
    <w:p w14:paraId="5714318D" w14:textId="77777777" w:rsidR="00935BF0" w:rsidRDefault="00935BF0" w:rsidP="00D15EE5">
      <w:pPr>
        <w:rPr>
          <w:lang w:val="en-US"/>
        </w:rPr>
      </w:pPr>
    </w:p>
    <w:p w14:paraId="1B628AC1" w14:textId="000D8573" w:rsidR="009B38DC" w:rsidRDefault="006C4721" w:rsidP="006C4721">
      <w:pPr>
        <w:pStyle w:val="RAN4H2"/>
        <w:rPr>
          <w:lang w:val="en-US"/>
        </w:rPr>
      </w:pPr>
      <w:r>
        <w:rPr>
          <w:lang w:val="en-US"/>
        </w:rPr>
        <w:t xml:space="preserve">RLM/BFD monitoring </w:t>
      </w:r>
    </w:p>
    <w:p w14:paraId="24F7498B" w14:textId="77777777" w:rsidR="006C4721" w:rsidRPr="006C4721" w:rsidRDefault="006C4721" w:rsidP="006C4721">
      <w:pPr>
        <w:rPr>
          <w:lang w:val="en-US"/>
        </w:rPr>
      </w:pPr>
    </w:p>
    <w:p w14:paraId="5D394E3C" w14:textId="3A142EC1" w:rsidR="009B38DC" w:rsidRDefault="00785534" w:rsidP="00D15EE5">
      <w:pPr>
        <w:rPr>
          <w:lang w:val="en-US"/>
        </w:rPr>
      </w:pPr>
      <w:r>
        <w:rPr>
          <w:lang w:val="en-US"/>
        </w:rPr>
        <w:t xml:space="preserve">Another issue indicated in the WF and discussed by many companies is the impact in the RLM/BFD monitoring that is caused by a reduced transmitting bandwidth configuration (Tx BW). With the reduced BW configuration, there needs to be an adaptation of the PDCCH parameters (for example the CCE to REG mapping or the aggregation level) such that the entirety of the PDCCH can be accommodated in the bandwidth allocated for Tx Transmission. With such modified parameters, the levels of Qin and </w:t>
      </w:r>
      <w:proofErr w:type="spellStart"/>
      <w:r>
        <w:rPr>
          <w:lang w:val="en-US"/>
        </w:rPr>
        <w:t>Qout</w:t>
      </w:r>
      <w:proofErr w:type="spellEnd"/>
      <w:r>
        <w:rPr>
          <w:lang w:val="en-US"/>
        </w:rPr>
        <w:t xml:space="preserve"> used for link monitoring will be different in practice compared to legacy operation (above 5 MHz). </w:t>
      </w:r>
    </w:p>
    <w:p w14:paraId="455597D1" w14:textId="66C7F4C9" w:rsidR="00785534" w:rsidRDefault="00785534" w:rsidP="00D15EE5">
      <w:pPr>
        <w:rPr>
          <w:lang w:val="en-US"/>
        </w:rPr>
      </w:pPr>
      <w:r>
        <w:rPr>
          <w:lang w:val="en-US"/>
        </w:rPr>
        <w:t>There is no further impact in the PDCCH decoding caused by NTN implementation or by NTN features</w:t>
      </w:r>
      <w:r w:rsidR="000D06E4">
        <w:rPr>
          <w:lang w:val="en-US"/>
        </w:rPr>
        <w:t xml:space="preserve">, therefore, the definitions for less than 5MHz operation in terrestrial networks might be applied directly to NTN. </w:t>
      </w:r>
    </w:p>
    <w:p w14:paraId="3C2EEDE4" w14:textId="308406A2" w:rsidR="000D06E4" w:rsidRDefault="000D06E4" w:rsidP="000D06E4">
      <w:pPr>
        <w:pStyle w:val="RAN4proposal"/>
        <w:rPr>
          <w:bCs/>
        </w:rPr>
      </w:pPr>
      <w:bookmarkStart w:id="13" w:name="_Toc179195175"/>
      <w:r>
        <w:rPr>
          <w:bCs/>
        </w:rPr>
        <w:t>Adopt</w:t>
      </w:r>
      <w:r w:rsidRPr="000D06E4">
        <w:rPr>
          <w:bCs/>
        </w:rPr>
        <w:t xml:space="preserve"> the </w:t>
      </w:r>
      <w:r>
        <w:rPr>
          <w:bCs/>
        </w:rPr>
        <w:t xml:space="preserve">same </w:t>
      </w:r>
      <w:r w:rsidRPr="000D06E4">
        <w:rPr>
          <w:bCs/>
        </w:rPr>
        <w:t xml:space="preserve">set of PDCCH parameters for hypothetical PDCCH BLER for RLM </w:t>
      </w:r>
      <w:r>
        <w:rPr>
          <w:bCs/>
        </w:rPr>
        <w:t>and BFD requirements used in terrestrial networks for the less than 5 MHz operation.</w:t>
      </w:r>
      <w:bookmarkEnd w:id="13"/>
    </w:p>
    <w:p w14:paraId="4A6D58F6" w14:textId="77777777" w:rsidR="005E40E2" w:rsidRDefault="005E40E2" w:rsidP="00D15EE5">
      <w:pPr>
        <w:rPr>
          <w:lang w:val="en-US"/>
        </w:rPr>
      </w:pPr>
    </w:p>
    <w:p w14:paraId="5EB6FF57" w14:textId="77777777" w:rsidR="004E212B" w:rsidRDefault="004E212B" w:rsidP="004E212B"/>
    <w:p w14:paraId="2A7B24BF" w14:textId="77777777" w:rsidR="004E212B" w:rsidRDefault="004E212B" w:rsidP="004E212B"/>
    <w:p w14:paraId="21972DD0" w14:textId="77777777" w:rsidR="0060543D" w:rsidRPr="00614DD8" w:rsidRDefault="0060543D" w:rsidP="0060543D">
      <w:pPr>
        <w:rPr>
          <w:lang w:val="en-US"/>
        </w:rPr>
      </w:pPr>
    </w:p>
    <w:p w14:paraId="0BAD6D30" w14:textId="756184BE" w:rsidR="00893D2E" w:rsidRPr="00614DD8" w:rsidRDefault="00893D2E">
      <w:pPr>
        <w:rPr>
          <w:rFonts w:ascii="Arial" w:eastAsia="SimSun" w:hAnsi="Arial" w:cs="Times New Roman"/>
          <w:sz w:val="36"/>
          <w:szCs w:val="20"/>
          <w:lang w:val="en-US"/>
        </w:rPr>
      </w:pPr>
      <w:bookmarkStart w:id="14" w:name="_Toc116995848"/>
    </w:p>
    <w:p w14:paraId="17428602" w14:textId="77777777" w:rsidR="00CD7492" w:rsidRPr="00614DD8" w:rsidRDefault="00CD7492" w:rsidP="00A37002">
      <w:pPr>
        <w:pStyle w:val="RAN4H1"/>
        <w:rPr>
          <w:lang w:val="en-US"/>
        </w:rPr>
      </w:pPr>
      <w:r w:rsidRPr="00614DD8">
        <w:rPr>
          <w:lang w:val="en-US"/>
        </w:rPr>
        <w:t>Conclusion</w:t>
      </w:r>
      <w:bookmarkEnd w:id="14"/>
    </w:p>
    <w:p w14:paraId="6E1BBDB6" w14:textId="117BCD58" w:rsidR="00381F95" w:rsidRPr="00614DD8" w:rsidRDefault="00381F95" w:rsidP="00936159">
      <w:pPr>
        <w:rPr>
          <w:lang w:val="en-US"/>
        </w:rPr>
      </w:pPr>
      <w:r w:rsidRPr="00614DD8">
        <w:rPr>
          <w:lang w:val="en-US"/>
        </w:rPr>
        <w:t xml:space="preserve">The paper </w:t>
      </w:r>
      <w:r w:rsidR="00A91F45">
        <w:rPr>
          <w:lang w:val="en-US"/>
        </w:rPr>
        <w:t>has analyzed the initial scope of the work for adopting the less than 5 MHz for the NTN UEs in FR1 and the following proposals were made.</w:t>
      </w:r>
    </w:p>
    <w:bookmarkStart w:id="15" w:name="_Toc116995849"/>
    <w:p w14:paraId="2789AB6A" w14:textId="44101F3E" w:rsidR="009409BC" w:rsidRDefault="001457B7">
      <w:pPr>
        <w:pStyle w:val="TOC1"/>
        <w:rPr>
          <w:rFonts w:asciiTheme="minorHAnsi" w:eastAsiaTheme="minorEastAsia" w:hAnsiTheme="minorHAnsi"/>
          <w:b w:val="0"/>
          <w:iCs w:val="0"/>
          <w:kern w:val="2"/>
          <w:sz w:val="24"/>
          <w:szCs w:val="24"/>
          <w:lang w:eastAsia="zh-CN"/>
          <w14:ligatures w14:val="standardContextual"/>
        </w:rPr>
      </w:pPr>
      <w:r>
        <w:rPr>
          <w:b w:val="0"/>
          <w:i/>
          <w:u w:val="single"/>
          <w:lang w:val="en-US"/>
        </w:rPr>
        <w:fldChar w:fldCharType="begin"/>
      </w:r>
      <w:r>
        <w:rPr>
          <w:b w:val="0"/>
          <w:i/>
          <w:u w:val="single"/>
          <w:lang w:val="en-US"/>
        </w:rPr>
        <w:instrText xml:space="preserve"> TOC \n \h \z \t "RAN4 proposal,1,RAN4 observation,1" </w:instrText>
      </w:r>
      <w:r>
        <w:rPr>
          <w:b w:val="0"/>
          <w:i/>
          <w:u w:val="single"/>
          <w:lang w:val="en-US"/>
        </w:rPr>
        <w:fldChar w:fldCharType="separate"/>
      </w:r>
      <w:hyperlink w:anchor="_Toc179195167" w:history="1">
        <w:r w:rsidR="009409BC" w:rsidRPr="00B10597">
          <w:rPr>
            <w:rStyle w:val="Hyperlink"/>
            <w:lang w:val="en-US"/>
          </w:rPr>
          <w:t>Proposal 1: Prioritize the discussion of the following requirements for less than 5 MHz operation in NTN.</w:t>
        </w:r>
      </w:hyperlink>
    </w:p>
    <w:p w14:paraId="6781D0B4" w14:textId="3595DA9C" w:rsidR="009409BC" w:rsidRDefault="00000000">
      <w:pPr>
        <w:pStyle w:val="TOC1"/>
        <w:tabs>
          <w:tab w:val="left" w:pos="400"/>
        </w:tabs>
        <w:rPr>
          <w:rFonts w:asciiTheme="minorHAnsi" w:eastAsiaTheme="minorEastAsia" w:hAnsiTheme="minorHAnsi"/>
          <w:b w:val="0"/>
          <w:iCs w:val="0"/>
          <w:kern w:val="2"/>
          <w:sz w:val="24"/>
          <w:szCs w:val="24"/>
          <w:lang w:eastAsia="zh-CN"/>
          <w14:ligatures w14:val="standardContextual"/>
        </w:rPr>
      </w:pPr>
      <w:hyperlink w:anchor="_Toc179195168" w:history="1">
        <w:r w:rsidR="009409BC" w:rsidRPr="00B10597">
          <w:rPr>
            <w:rStyle w:val="Hyperlink"/>
            <w:lang w:val="en-US"/>
          </w:rPr>
          <w:t>a.</w:t>
        </w:r>
        <w:r w:rsidR="009409BC">
          <w:rPr>
            <w:rFonts w:asciiTheme="minorHAnsi" w:eastAsiaTheme="minorEastAsia" w:hAnsiTheme="minorHAnsi"/>
            <w:b w:val="0"/>
            <w:iCs w:val="0"/>
            <w:kern w:val="2"/>
            <w:sz w:val="24"/>
            <w:szCs w:val="24"/>
            <w:lang w:eastAsia="zh-CN"/>
            <w14:ligatures w14:val="standardContextual"/>
          </w:rPr>
          <w:tab/>
        </w:r>
        <w:r w:rsidR="009409BC" w:rsidRPr="00B10597">
          <w:rPr>
            <w:rStyle w:val="Hyperlink"/>
            <w:lang w:val="en-US"/>
          </w:rPr>
          <w:t>Index detection in connected mode measurements (intra and inter-frequency measurements)</w:t>
        </w:r>
      </w:hyperlink>
    </w:p>
    <w:p w14:paraId="7A30895D" w14:textId="33712466" w:rsidR="009409BC" w:rsidRDefault="00000000">
      <w:pPr>
        <w:pStyle w:val="TOC1"/>
        <w:tabs>
          <w:tab w:val="left" w:pos="1200"/>
        </w:tabs>
        <w:rPr>
          <w:rFonts w:asciiTheme="minorHAnsi" w:eastAsiaTheme="minorEastAsia" w:hAnsiTheme="minorHAnsi"/>
          <w:b w:val="0"/>
          <w:iCs w:val="0"/>
          <w:kern w:val="2"/>
          <w:sz w:val="24"/>
          <w:szCs w:val="24"/>
          <w:lang w:eastAsia="zh-CN"/>
          <w14:ligatures w14:val="standardContextual"/>
        </w:rPr>
      </w:pPr>
      <w:hyperlink w:anchor="_Toc179195169" w:history="1">
        <w:r w:rsidR="009409BC" w:rsidRPr="00B10597">
          <w:rPr>
            <w:rStyle w:val="Hyperlink"/>
            <w:lang w:val="en-US"/>
          </w:rPr>
          <w:t>b.</w:t>
        </w:r>
        <w:r w:rsidR="009409BC">
          <w:rPr>
            <w:rFonts w:asciiTheme="minorHAnsi" w:eastAsiaTheme="minorEastAsia" w:hAnsiTheme="minorHAnsi"/>
            <w:b w:val="0"/>
            <w:iCs w:val="0"/>
            <w:kern w:val="2"/>
            <w:sz w:val="24"/>
            <w:szCs w:val="24"/>
            <w:lang w:eastAsia="zh-CN"/>
            <w14:ligatures w14:val="standardContextual"/>
          </w:rPr>
          <w:tab/>
        </w:r>
        <w:r w:rsidR="009409BC" w:rsidRPr="00B10597">
          <w:rPr>
            <w:rStyle w:val="Hyperlink"/>
            <w:lang w:val="en-US"/>
          </w:rPr>
          <w:t>RLM/BFD monitoring</w:t>
        </w:r>
      </w:hyperlink>
    </w:p>
    <w:p w14:paraId="3312BE48" w14:textId="68A90330" w:rsidR="009409BC" w:rsidRDefault="00000000">
      <w:pPr>
        <w:pStyle w:val="TOC1"/>
        <w:tabs>
          <w:tab w:val="left" w:pos="400"/>
        </w:tabs>
        <w:rPr>
          <w:rFonts w:asciiTheme="minorHAnsi" w:eastAsiaTheme="minorEastAsia" w:hAnsiTheme="minorHAnsi"/>
          <w:b w:val="0"/>
          <w:iCs w:val="0"/>
          <w:kern w:val="2"/>
          <w:sz w:val="24"/>
          <w:szCs w:val="24"/>
          <w:lang w:eastAsia="zh-CN"/>
          <w14:ligatures w14:val="standardContextual"/>
        </w:rPr>
      </w:pPr>
      <w:hyperlink w:anchor="_Toc179195170" w:history="1">
        <w:r w:rsidR="009409BC" w:rsidRPr="00B10597">
          <w:rPr>
            <w:rStyle w:val="Hyperlink"/>
            <w:lang w:val="en-US"/>
          </w:rPr>
          <w:t>c.</w:t>
        </w:r>
        <w:r w:rsidR="009409BC">
          <w:rPr>
            <w:rFonts w:asciiTheme="minorHAnsi" w:eastAsiaTheme="minorEastAsia" w:hAnsiTheme="minorHAnsi"/>
            <w:b w:val="0"/>
            <w:iCs w:val="0"/>
            <w:kern w:val="2"/>
            <w:sz w:val="24"/>
            <w:szCs w:val="24"/>
            <w:lang w:eastAsia="zh-CN"/>
            <w14:ligatures w14:val="standardContextual"/>
          </w:rPr>
          <w:tab/>
        </w:r>
        <w:r w:rsidR="009409BC" w:rsidRPr="00B10597">
          <w:rPr>
            <w:rStyle w:val="Hyperlink"/>
            <w:lang w:val="en-US"/>
          </w:rPr>
          <w:t>T</w:t>
        </w:r>
        <w:r w:rsidR="009409BC" w:rsidRPr="00B10597">
          <w:rPr>
            <w:rStyle w:val="Hyperlink"/>
            <w:rFonts w:cs="Times New Roman"/>
            <w:vertAlign w:val="subscript"/>
            <w:lang w:val="en-US"/>
          </w:rPr>
          <w:t>Δ</w:t>
        </w:r>
        <w:r w:rsidR="009409BC" w:rsidRPr="00B10597">
          <w:rPr>
            <w:rStyle w:val="Hyperlink"/>
            <w:lang w:val="en-US"/>
          </w:rPr>
          <w:t xml:space="preserve"> in HO delay requirements</w:t>
        </w:r>
      </w:hyperlink>
    </w:p>
    <w:p w14:paraId="711A8F9E" w14:textId="2138926D" w:rsidR="009409BC" w:rsidRDefault="00000000">
      <w:pPr>
        <w:pStyle w:val="TOC1"/>
        <w:rPr>
          <w:rFonts w:asciiTheme="minorHAnsi" w:eastAsiaTheme="minorEastAsia" w:hAnsiTheme="minorHAnsi"/>
          <w:b w:val="0"/>
          <w:iCs w:val="0"/>
          <w:kern w:val="2"/>
          <w:sz w:val="24"/>
          <w:szCs w:val="24"/>
          <w:lang w:eastAsia="zh-CN"/>
          <w14:ligatures w14:val="standardContextual"/>
        </w:rPr>
      </w:pPr>
      <w:hyperlink w:anchor="_Toc179195171" w:history="1">
        <w:r w:rsidR="009409BC" w:rsidRPr="00B10597">
          <w:rPr>
            <w:rStyle w:val="Hyperlink"/>
            <w:lang w:val="en-US"/>
          </w:rPr>
          <w:t>Proposal 2: For measurements towards a target cell with 12-PRBs SSB, the time period for time index detection shall follow TN agreements, i.e.:</w:t>
        </w:r>
      </w:hyperlink>
    </w:p>
    <w:p w14:paraId="23049AD5" w14:textId="0CCA3EB2" w:rsidR="009409BC" w:rsidRDefault="00000000">
      <w:pPr>
        <w:pStyle w:val="TOC1"/>
        <w:tabs>
          <w:tab w:val="left" w:pos="400"/>
        </w:tabs>
        <w:rPr>
          <w:rFonts w:asciiTheme="minorHAnsi" w:eastAsiaTheme="minorEastAsia" w:hAnsiTheme="minorHAnsi"/>
          <w:b w:val="0"/>
          <w:iCs w:val="0"/>
          <w:kern w:val="2"/>
          <w:sz w:val="24"/>
          <w:szCs w:val="24"/>
          <w:lang w:eastAsia="zh-CN"/>
          <w14:ligatures w14:val="standardContextual"/>
        </w:rPr>
      </w:pPr>
      <w:hyperlink w:anchor="_Toc179195172" w:history="1">
        <w:r w:rsidR="009409BC" w:rsidRPr="00B10597">
          <w:rPr>
            <w:rStyle w:val="Hyperlink"/>
            <w:lang w:val="en-US" w:eastAsia="ja-JP"/>
          </w:rPr>
          <w:t>a.</w:t>
        </w:r>
        <w:r w:rsidR="009409BC">
          <w:rPr>
            <w:rFonts w:asciiTheme="minorHAnsi" w:eastAsiaTheme="minorEastAsia" w:hAnsiTheme="minorHAnsi"/>
            <w:b w:val="0"/>
            <w:iCs w:val="0"/>
            <w:kern w:val="2"/>
            <w:sz w:val="24"/>
            <w:szCs w:val="24"/>
            <w:lang w:eastAsia="zh-CN"/>
            <w14:ligatures w14:val="standardContextual"/>
          </w:rPr>
          <w:tab/>
        </w:r>
        <w:r w:rsidR="009409BC" w:rsidRPr="00B10597">
          <w:rPr>
            <w:rStyle w:val="Hyperlink"/>
            <w:lang w:val="en-US" w:eastAsia="ja-JP"/>
          </w:rPr>
          <w:t>Unknown intra-frequency cell [3+4] samples</w:t>
        </w:r>
      </w:hyperlink>
    </w:p>
    <w:p w14:paraId="02B4AFBB" w14:textId="6EF13093" w:rsidR="009409BC" w:rsidRDefault="00000000">
      <w:pPr>
        <w:pStyle w:val="TOC1"/>
        <w:tabs>
          <w:tab w:val="left" w:pos="1200"/>
        </w:tabs>
        <w:rPr>
          <w:rFonts w:asciiTheme="minorHAnsi" w:eastAsiaTheme="minorEastAsia" w:hAnsiTheme="minorHAnsi"/>
          <w:b w:val="0"/>
          <w:iCs w:val="0"/>
          <w:kern w:val="2"/>
          <w:sz w:val="24"/>
          <w:szCs w:val="24"/>
          <w:lang w:eastAsia="zh-CN"/>
          <w14:ligatures w14:val="standardContextual"/>
        </w:rPr>
      </w:pPr>
      <w:hyperlink w:anchor="_Toc179195173" w:history="1">
        <w:r w:rsidR="009409BC" w:rsidRPr="00B10597">
          <w:rPr>
            <w:rStyle w:val="Hyperlink"/>
            <w:lang w:val="en-US"/>
          </w:rPr>
          <w:t>b.</w:t>
        </w:r>
        <w:r w:rsidR="009409BC">
          <w:rPr>
            <w:rFonts w:asciiTheme="minorHAnsi" w:eastAsiaTheme="minorEastAsia" w:hAnsiTheme="minorHAnsi"/>
            <w:b w:val="0"/>
            <w:iCs w:val="0"/>
            <w:kern w:val="2"/>
            <w:sz w:val="24"/>
            <w:szCs w:val="24"/>
            <w:lang w:eastAsia="zh-CN"/>
            <w14:ligatures w14:val="standardContextual"/>
          </w:rPr>
          <w:tab/>
        </w:r>
        <w:r w:rsidR="009409BC" w:rsidRPr="00B10597">
          <w:rPr>
            <w:rStyle w:val="Hyperlink"/>
            <w:lang w:val="en-US" w:eastAsia="ja-JP"/>
          </w:rPr>
          <w:t>Unknown inter-frequency cell [3+3] samples</w:t>
        </w:r>
      </w:hyperlink>
    </w:p>
    <w:p w14:paraId="68C63DF2" w14:textId="2149BA03" w:rsidR="009409BC" w:rsidRDefault="00000000">
      <w:pPr>
        <w:pStyle w:val="TOC1"/>
        <w:rPr>
          <w:rFonts w:asciiTheme="minorHAnsi" w:eastAsiaTheme="minorEastAsia" w:hAnsiTheme="minorHAnsi"/>
          <w:b w:val="0"/>
          <w:iCs w:val="0"/>
          <w:kern w:val="2"/>
          <w:sz w:val="24"/>
          <w:szCs w:val="24"/>
          <w:lang w:eastAsia="zh-CN"/>
          <w14:ligatures w14:val="standardContextual"/>
        </w:rPr>
      </w:pPr>
      <w:hyperlink w:anchor="_Toc179195174" w:history="1">
        <w:r w:rsidR="009409BC" w:rsidRPr="00B10597">
          <w:rPr>
            <w:rStyle w:val="Hyperlink"/>
            <w:lang w:val="en-US"/>
          </w:rPr>
          <w:t>Proposal 3: For time index identification (intra and inter frequency) utilize the existing tables for NTN requirements to introduce the new requirements for less than 5 MHz.</w:t>
        </w:r>
      </w:hyperlink>
    </w:p>
    <w:p w14:paraId="184362C8" w14:textId="3C99A3A1" w:rsidR="009409BC" w:rsidRDefault="00000000">
      <w:pPr>
        <w:pStyle w:val="TOC1"/>
        <w:rPr>
          <w:rFonts w:asciiTheme="minorHAnsi" w:eastAsiaTheme="minorEastAsia" w:hAnsiTheme="minorHAnsi"/>
          <w:b w:val="0"/>
          <w:iCs w:val="0"/>
          <w:kern w:val="2"/>
          <w:sz w:val="24"/>
          <w:szCs w:val="24"/>
          <w:lang w:eastAsia="zh-CN"/>
          <w14:ligatures w14:val="standardContextual"/>
        </w:rPr>
      </w:pPr>
      <w:hyperlink w:anchor="_Toc179195175" w:history="1">
        <w:r w:rsidR="009409BC" w:rsidRPr="00B10597">
          <w:rPr>
            <w:rStyle w:val="Hyperlink"/>
            <w:bCs/>
          </w:rPr>
          <w:t>Proposal 4: Adopt the same set of PDCCH parameters for hypothetical PDCCH BLER for RLM and BFD requirements used in terrestrial networks for the less than 5 MHz operation.</w:t>
        </w:r>
      </w:hyperlink>
    </w:p>
    <w:p w14:paraId="550A99A9" w14:textId="6C31526B" w:rsidR="00847264" w:rsidRPr="00614DD8" w:rsidRDefault="001457B7" w:rsidP="008C39F7">
      <w:pPr>
        <w:rPr>
          <w:lang w:val="en-US"/>
        </w:rPr>
      </w:pPr>
      <w:r>
        <w:rPr>
          <w:b/>
          <w:i/>
          <w:noProof/>
          <w:u w:val="single"/>
          <w:lang w:val="en-US"/>
        </w:rPr>
        <w:fldChar w:fldCharType="end"/>
      </w:r>
    </w:p>
    <w:p w14:paraId="12B5C36F"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5"/>
    </w:p>
    <w:p w14:paraId="2EA8D762" w14:textId="4B160291" w:rsidR="00E43BF9" w:rsidRDefault="0078713A" w:rsidP="00A91F45">
      <w:pPr>
        <w:pStyle w:val="ListParagraph"/>
        <w:numPr>
          <w:ilvl w:val="0"/>
          <w:numId w:val="21"/>
        </w:numPr>
        <w:rPr>
          <w:lang w:val="en-US"/>
        </w:rPr>
      </w:pPr>
      <w:bookmarkStart w:id="16" w:name="_Ref114500673"/>
      <w:bookmarkStart w:id="17" w:name="_Ref173963276"/>
      <w:bookmarkStart w:id="18" w:name="_Ref173928979"/>
      <w:bookmarkEnd w:id="16"/>
      <w:r w:rsidRPr="0078713A">
        <w:rPr>
          <w:rFonts w:hint="eastAsia"/>
          <w:lang w:val="en-US"/>
        </w:rPr>
        <w:t>RP-240857</w:t>
      </w:r>
      <w:r>
        <w:rPr>
          <w:lang w:val="en-US"/>
        </w:rPr>
        <w:t>,</w:t>
      </w:r>
      <w:r w:rsidRPr="0078713A">
        <w:rPr>
          <w:i/>
          <w:iCs/>
          <w:lang w:val="en-US"/>
        </w:rPr>
        <w:t xml:space="preserve"> “New WID: Enhanced requirements and test methodology for NR and IoT NTN”</w:t>
      </w:r>
      <w:r>
        <w:rPr>
          <w:lang w:val="en-US"/>
        </w:rPr>
        <w:t xml:space="preserve">, RAN4 Chair (Huawei), RAN #103, </w:t>
      </w:r>
      <w:r w:rsidRPr="0078713A">
        <w:rPr>
          <w:rFonts w:hint="eastAsia"/>
          <w:lang w:val="en-US"/>
        </w:rPr>
        <w:t>Maastricht, Netherlands, March 18-21, 2024</w:t>
      </w:r>
      <w:bookmarkEnd w:id="17"/>
      <w:bookmarkEnd w:id="18"/>
    </w:p>
    <w:p w14:paraId="0550B4FE" w14:textId="641409E2" w:rsidR="009B30DC" w:rsidRPr="008247F5" w:rsidRDefault="009B30DC" w:rsidP="00A91F45">
      <w:pPr>
        <w:pStyle w:val="ListParagraph"/>
        <w:numPr>
          <w:ilvl w:val="0"/>
          <w:numId w:val="21"/>
        </w:numPr>
        <w:rPr>
          <w:lang w:val="en-US"/>
        </w:rPr>
      </w:pPr>
      <w:bookmarkStart w:id="19" w:name="_Ref178852530"/>
      <w:r w:rsidRPr="009B30DC">
        <w:t xml:space="preserve">R4-2413974, </w:t>
      </w:r>
      <w:r w:rsidRPr="009B30DC">
        <w:rPr>
          <w:i/>
          <w:iCs/>
        </w:rPr>
        <w:t>"WF for RRM of NTN with channel BW less than 5MHz"</w:t>
      </w:r>
      <w:r w:rsidRPr="009B30DC">
        <w:t>, Moderator (Xiaomi), RAN4 #112, Maastricht, Netherlands, Aug. 19-23, 2024.</w:t>
      </w:r>
      <w:bookmarkEnd w:id="19"/>
    </w:p>
    <w:p w14:paraId="438E11A6" w14:textId="4ED6AD53" w:rsidR="008247F5" w:rsidRDefault="008247F5" w:rsidP="00A91F45">
      <w:pPr>
        <w:pStyle w:val="ListParagraph"/>
        <w:numPr>
          <w:ilvl w:val="0"/>
          <w:numId w:val="21"/>
        </w:numPr>
        <w:rPr>
          <w:lang w:val="en-US"/>
        </w:rPr>
      </w:pPr>
      <w:bookmarkStart w:id="20" w:name="_Ref178856931"/>
      <w:r>
        <w:rPr>
          <w:lang w:val="en-US"/>
        </w:rPr>
        <w:t>R4-2413189, “</w:t>
      </w:r>
      <w:r w:rsidRPr="008247F5">
        <w:rPr>
          <w:bCs/>
          <w:lang w:val="en-US"/>
        </w:rPr>
        <w:t>Support of less than 5MHz for NR NTN</w:t>
      </w:r>
      <w:r>
        <w:rPr>
          <w:lang w:val="en-US"/>
        </w:rPr>
        <w:t xml:space="preserve">”, Qualcomm, RAN4 #112, </w:t>
      </w:r>
      <w:r w:rsidRPr="008247F5">
        <w:rPr>
          <w:lang w:val="en-US"/>
        </w:rPr>
        <w:t xml:space="preserve">Maastricht, Netherlands, 19th – 23rd </w:t>
      </w:r>
      <w:proofErr w:type="gramStart"/>
      <w:r w:rsidRPr="008247F5">
        <w:rPr>
          <w:lang w:val="en-US"/>
        </w:rPr>
        <w:t>August,</w:t>
      </w:r>
      <w:proofErr w:type="gramEnd"/>
      <w:r w:rsidRPr="008247F5">
        <w:rPr>
          <w:lang w:val="en-US"/>
        </w:rPr>
        <w:t xml:space="preserve"> 2024</w:t>
      </w:r>
      <w:bookmarkEnd w:id="20"/>
    </w:p>
    <w:p w14:paraId="30F28E00" w14:textId="5DB8CF4B" w:rsidR="008848A2" w:rsidRPr="00A91F45" w:rsidRDefault="008848A2" w:rsidP="00A91F45">
      <w:pPr>
        <w:pStyle w:val="ListParagraph"/>
        <w:numPr>
          <w:ilvl w:val="0"/>
          <w:numId w:val="21"/>
        </w:numPr>
        <w:rPr>
          <w:lang w:val="en-US"/>
        </w:rPr>
      </w:pPr>
      <w:bookmarkStart w:id="21" w:name="_Ref178856938"/>
      <w:r w:rsidRPr="008848A2">
        <w:rPr>
          <w:lang w:val="en-US"/>
        </w:rPr>
        <w:t>R4-2413043</w:t>
      </w:r>
      <w:r>
        <w:rPr>
          <w:lang w:val="en-US"/>
        </w:rPr>
        <w:t>, “</w:t>
      </w:r>
      <w:r w:rsidRPr="008848A2">
        <w:rPr>
          <w:lang w:val="en-US"/>
        </w:rPr>
        <w:t>Discussion on RRM requirements for NTN enhancement</w:t>
      </w:r>
      <w:r>
        <w:rPr>
          <w:lang w:val="en-US"/>
        </w:rPr>
        <w:t xml:space="preserve">”, </w:t>
      </w:r>
      <w:r w:rsidRPr="008848A2">
        <w:rPr>
          <w:lang w:val="en-US"/>
        </w:rPr>
        <w:t xml:space="preserve">ZTE Corporation, </w:t>
      </w:r>
      <w:proofErr w:type="spellStart"/>
      <w:r w:rsidRPr="008848A2">
        <w:rPr>
          <w:lang w:val="en-US"/>
        </w:rPr>
        <w:t>Sanechips</w:t>
      </w:r>
      <w:proofErr w:type="spellEnd"/>
      <w:r>
        <w:rPr>
          <w:lang w:val="en-US"/>
        </w:rPr>
        <w:t>, RAN4 #112, Maastricht, Netherlands, 19</w:t>
      </w:r>
      <w:r w:rsidRPr="008848A2">
        <w:rPr>
          <w:vertAlign w:val="superscript"/>
          <w:lang w:val="en-US"/>
        </w:rPr>
        <w:t>th</w:t>
      </w:r>
      <w:r>
        <w:rPr>
          <w:lang w:val="en-US"/>
        </w:rPr>
        <w:t xml:space="preserve"> – 23</w:t>
      </w:r>
      <w:r w:rsidRPr="008848A2">
        <w:rPr>
          <w:vertAlign w:val="superscript"/>
          <w:lang w:val="en-US"/>
        </w:rPr>
        <w:t>rd</w:t>
      </w:r>
      <w:r>
        <w:rPr>
          <w:lang w:val="en-US"/>
        </w:rPr>
        <w:t xml:space="preserve"> </w:t>
      </w:r>
      <w:proofErr w:type="gramStart"/>
      <w:r>
        <w:rPr>
          <w:lang w:val="en-US"/>
        </w:rPr>
        <w:t>August,</w:t>
      </w:r>
      <w:proofErr w:type="gramEnd"/>
      <w:r>
        <w:rPr>
          <w:lang w:val="en-US"/>
        </w:rPr>
        <w:t xml:space="preserve"> 2024</w:t>
      </w:r>
      <w:bookmarkEnd w:id="21"/>
    </w:p>
    <w:p w14:paraId="64BCB4DF" w14:textId="77777777" w:rsidR="001A1705" w:rsidRDefault="001A1705" w:rsidP="00E43BF9">
      <w:pPr>
        <w:ind w:right="-22"/>
        <w:rPr>
          <w:lang w:val="en-US"/>
        </w:rPr>
      </w:pPr>
    </w:p>
    <w:sectPr w:rsidR="001A170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450940" w14:textId="77777777" w:rsidR="00C871FA" w:rsidRDefault="00C871FA" w:rsidP="00001C9B">
      <w:pPr>
        <w:spacing w:after="0" w:line="240" w:lineRule="auto"/>
      </w:pPr>
      <w:r>
        <w:separator/>
      </w:r>
    </w:p>
  </w:endnote>
  <w:endnote w:type="continuationSeparator" w:id="0">
    <w:p w14:paraId="5423D319" w14:textId="77777777" w:rsidR="00C871FA" w:rsidRDefault="00C871FA" w:rsidP="00001C9B">
      <w:pPr>
        <w:spacing w:after="0" w:line="240" w:lineRule="auto"/>
      </w:pPr>
      <w:r>
        <w:continuationSeparator/>
      </w:r>
    </w:p>
  </w:endnote>
  <w:endnote w:type="continuationNotice" w:id="1">
    <w:p w14:paraId="5AC28376" w14:textId="77777777" w:rsidR="00C871FA" w:rsidRDefault="00C871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hnschrift SemiLight">
    <w:panose1 w:val="020B0502040204020203"/>
    <w:charset w:val="00"/>
    <w:family w:val="swiss"/>
    <w:pitch w:val="variable"/>
    <w:sig w:usb0="A00002C7"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82D36D" w14:textId="77777777" w:rsidR="00C871FA" w:rsidRDefault="00C871FA" w:rsidP="00001C9B">
      <w:pPr>
        <w:spacing w:after="0" w:line="240" w:lineRule="auto"/>
      </w:pPr>
      <w:r>
        <w:separator/>
      </w:r>
    </w:p>
  </w:footnote>
  <w:footnote w:type="continuationSeparator" w:id="0">
    <w:p w14:paraId="16D9C539" w14:textId="77777777" w:rsidR="00C871FA" w:rsidRDefault="00C871FA" w:rsidP="00001C9B">
      <w:pPr>
        <w:spacing w:after="0" w:line="240" w:lineRule="auto"/>
      </w:pPr>
      <w:r>
        <w:continuationSeparator/>
      </w:r>
    </w:p>
  </w:footnote>
  <w:footnote w:type="continuationNotice" w:id="1">
    <w:p w14:paraId="4BF6098A" w14:textId="77777777" w:rsidR="00C871FA" w:rsidRDefault="00C871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451F6D"/>
    <w:multiLevelType w:val="hybridMultilevel"/>
    <w:tmpl w:val="970AF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F7640D"/>
    <w:multiLevelType w:val="multilevel"/>
    <w:tmpl w:val="15F7640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4F5877"/>
    <w:multiLevelType w:val="hybridMultilevel"/>
    <w:tmpl w:val="3C9A5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9"/>
  </w:num>
  <w:num w:numId="3" w16cid:durableId="1792749823">
    <w:abstractNumId w:val="13"/>
  </w:num>
  <w:num w:numId="4" w16cid:durableId="517735681">
    <w:abstractNumId w:val="7"/>
  </w:num>
  <w:num w:numId="5" w16cid:durableId="1142041724">
    <w:abstractNumId w:val="16"/>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17"/>
  </w:num>
  <w:num w:numId="16" w16cid:durableId="516113510">
    <w:abstractNumId w:val="6"/>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4"/>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778331464">
    <w:abstractNumId w:val="2"/>
  </w:num>
  <w:num w:numId="28" w16cid:durableId="240799949">
    <w:abstractNumId w:val="4"/>
  </w:num>
  <w:num w:numId="29" w16cid:durableId="1908879727">
    <w:abstractNumId w:val="8"/>
  </w:num>
  <w:num w:numId="30" w16cid:durableId="4479399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D4621"/>
    <w:rsid w:val="00001C9B"/>
    <w:rsid w:val="000040DC"/>
    <w:rsid w:val="00011784"/>
    <w:rsid w:val="000151EF"/>
    <w:rsid w:val="000239F5"/>
    <w:rsid w:val="00072CCA"/>
    <w:rsid w:val="0008612A"/>
    <w:rsid w:val="00090E18"/>
    <w:rsid w:val="000A10BC"/>
    <w:rsid w:val="000A7F53"/>
    <w:rsid w:val="000B0056"/>
    <w:rsid w:val="000B4D90"/>
    <w:rsid w:val="000C3C7B"/>
    <w:rsid w:val="000C6BF6"/>
    <w:rsid w:val="000D06E4"/>
    <w:rsid w:val="000D0F93"/>
    <w:rsid w:val="000E03AC"/>
    <w:rsid w:val="00106416"/>
    <w:rsid w:val="00110481"/>
    <w:rsid w:val="001127C9"/>
    <w:rsid w:val="00114498"/>
    <w:rsid w:val="00115B88"/>
    <w:rsid w:val="00131384"/>
    <w:rsid w:val="00132F6A"/>
    <w:rsid w:val="00133913"/>
    <w:rsid w:val="00135EA5"/>
    <w:rsid w:val="00140221"/>
    <w:rsid w:val="001457B7"/>
    <w:rsid w:val="001642FC"/>
    <w:rsid w:val="0016496B"/>
    <w:rsid w:val="00171CE3"/>
    <w:rsid w:val="001743E2"/>
    <w:rsid w:val="001745F8"/>
    <w:rsid w:val="001838CF"/>
    <w:rsid w:val="001868EE"/>
    <w:rsid w:val="001A1705"/>
    <w:rsid w:val="001A3BA4"/>
    <w:rsid w:val="001A6D1F"/>
    <w:rsid w:val="001B1EA8"/>
    <w:rsid w:val="001C71D2"/>
    <w:rsid w:val="001D478E"/>
    <w:rsid w:val="001E30F6"/>
    <w:rsid w:val="00203210"/>
    <w:rsid w:val="00217EE5"/>
    <w:rsid w:val="00235F5C"/>
    <w:rsid w:val="00252374"/>
    <w:rsid w:val="00257FA3"/>
    <w:rsid w:val="00264081"/>
    <w:rsid w:val="00276767"/>
    <w:rsid w:val="00277B56"/>
    <w:rsid w:val="002817D2"/>
    <w:rsid w:val="00282A74"/>
    <w:rsid w:val="002849D4"/>
    <w:rsid w:val="0029139A"/>
    <w:rsid w:val="002A19F5"/>
    <w:rsid w:val="002B2A83"/>
    <w:rsid w:val="002B4922"/>
    <w:rsid w:val="002B69F3"/>
    <w:rsid w:val="002C22C3"/>
    <w:rsid w:val="002C2D19"/>
    <w:rsid w:val="002D10FA"/>
    <w:rsid w:val="002D4C55"/>
    <w:rsid w:val="002D5C7B"/>
    <w:rsid w:val="002E09CE"/>
    <w:rsid w:val="002E6DED"/>
    <w:rsid w:val="00300956"/>
    <w:rsid w:val="00306A42"/>
    <w:rsid w:val="00317187"/>
    <w:rsid w:val="0032499A"/>
    <w:rsid w:val="003341F7"/>
    <w:rsid w:val="00336A1F"/>
    <w:rsid w:val="00347FEC"/>
    <w:rsid w:val="003509DF"/>
    <w:rsid w:val="003517A9"/>
    <w:rsid w:val="00356F45"/>
    <w:rsid w:val="003649C8"/>
    <w:rsid w:val="00366B74"/>
    <w:rsid w:val="00381F95"/>
    <w:rsid w:val="003824F2"/>
    <w:rsid w:val="00393A4F"/>
    <w:rsid w:val="003A710A"/>
    <w:rsid w:val="003B659E"/>
    <w:rsid w:val="003C275E"/>
    <w:rsid w:val="003C4FDE"/>
    <w:rsid w:val="003D0FE2"/>
    <w:rsid w:val="003E0EF1"/>
    <w:rsid w:val="003E4609"/>
    <w:rsid w:val="003E4EE0"/>
    <w:rsid w:val="003E58DF"/>
    <w:rsid w:val="00402D37"/>
    <w:rsid w:val="00404C4C"/>
    <w:rsid w:val="004105D5"/>
    <w:rsid w:val="00413C69"/>
    <w:rsid w:val="0041423F"/>
    <w:rsid w:val="00414F81"/>
    <w:rsid w:val="0042194B"/>
    <w:rsid w:val="00424F78"/>
    <w:rsid w:val="00432FF3"/>
    <w:rsid w:val="00436A0F"/>
    <w:rsid w:val="00437150"/>
    <w:rsid w:val="00437367"/>
    <w:rsid w:val="0043750A"/>
    <w:rsid w:val="00447577"/>
    <w:rsid w:val="0045320C"/>
    <w:rsid w:val="00457740"/>
    <w:rsid w:val="004732E9"/>
    <w:rsid w:val="004854BB"/>
    <w:rsid w:val="00494493"/>
    <w:rsid w:val="00496606"/>
    <w:rsid w:val="004D262F"/>
    <w:rsid w:val="004D66A8"/>
    <w:rsid w:val="004E212B"/>
    <w:rsid w:val="004E2F40"/>
    <w:rsid w:val="004E5E66"/>
    <w:rsid w:val="004E7ADB"/>
    <w:rsid w:val="004F690B"/>
    <w:rsid w:val="00503B4D"/>
    <w:rsid w:val="00504EE9"/>
    <w:rsid w:val="00514E4F"/>
    <w:rsid w:val="00521576"/>
    <w:rsid w:val="005250E6"/>
    <w:rsid w:val="0052777E"/>
    <w:rsid w:val="00537AD6"/>
    <w:rsid w:val="0054284C"/>
    <w:rsid w:val="00542D23"/>
    <w:rsid w:val="0054442C"/>
    <w:rsid w:val="00547FF8"/>
    <w:rsid w:val="00550285"/>
    <w:rsid w:val="00550B99"/>
    <w:rsid w:val="00560A8D"/>
    <w:rsid w:val="00562492"/>
    <w:rsid w:val="00564938"/>
    <w:rsid w:val="00566881"/>
    <w:rsid w:val="00572A20"/>
    <w:rsid w:val="005836F8"/>
    <w:rsid w:val="005918FA"/>
    <w:rsid w:val="00592A86"/>
    <w:rsid w:val="005B3029"/>
    <w:rsid w:val="005B4801"/>
    <w:rsid w:val="005C23A4"/>
    <w:rsid w:val="005D1CDF"/>
    <w:rsid w:val="005D2BB7"/>
    <w:rsid w:val="005D6FFE"/>
    <w:rsid w:val="005E40E2"/>
    <w:rsid w:val="005E61A8"/>
    <w:rsid w:val="005F6419"/>
    <w:rsid w:val="005F6E96"/>
    <w:rsid w:val="0060301D"/>
    <w:rsid w:val="0060543D"/>
    <w:rsid w:val="006104DD"/>
    <w:rsid w:val="006130B5"/>
    <w:rsid w:val="00614DD8"/>
    <w:rsid w:val="00615B1A"/>
    <w:rsid w:val="00617400"/>
    <w:rsid w:val="00632D29"/>
    <w:rsid w:val="00635423"/>
    <w:rsid w:val="00636234"/>
    <w:rsid w:val="006400D6"/>
    <w:rsid w:val="006410A2"/>
    <w:rsid w:val="0065466F"/>
    <w:rsid w:val="00664213"/>
    <w:rsid w:val="00664950"/>
    <w:rsid w:val="00666B74"/>
    <w:rsid w:val="00683220"/>
    <w:rsid w:val="00684A3A"/>
    <w:rsid w:val="00687FA0"/>
    <w:rsid w:val="00697E59"/>
    <w:rsid w:val="006A28AC"/>
    <w:rsid w:val="006A3C11"/>
    <w:rsid w:val="006B537A"/>
    <w:rsid w:val="006B7010"/>
    <w:rsid w:val="006C3095"/>
    <w:rsid w:val="006C4721"/>
    <w:rsid w:val="006E1151"/>
    <w:rsid w:val="006E6311"/>
    <w:rsid w:val="007145FF"/>
    <w:rsid w:val="00715B2A"/>
    <w:rsid w:val="00721BEC"/>
    <w:rsid w:val="0073208C"/>
    <w:rsid w:val="00733B21"/>
    <w:rsid w:val="007450F1"/>
    <w:rsid w:val="00751515"/>
    <w:rsid w:val="007626B7"/>
    <w:rsid w:val="00781B80"/>
    <w:rsid w:val="0078212B"/>
    <w:rsid w:val="00784DF6"/>
    <w:rsid w:val="00785232"/>
    <w:rsid w:val="00785534"/>
    <w:rsid w:val="0078713A"/>
    <w:rsid w:val="007B186C"/>
    <w:rsid w:val="007C1696"/>
    <w:rsid w:val="007C3ED0"/>
    <w:rsid w:val="007C48C4"/>
    <w:rsid w:val="007C5971"/>
    <w:rsid w:val="007E42DC"/>
    <w:rsid w:val="007E4F1D"/>
    <w:rsid w:val="007E6B6D"/>
    <w:rsid w:val="007F2575"/>
    <w:rsid w:val="007F54B9"/>
    <w:rsid w:val="008026A9"/>
    <w:rsid w:val="00806A76"/>
    <w:rsid w:val="00811C9D"/>
    <w:rsid w:val="00816C80"/>
    <w:rsid w:val="008175E2"/>
    <w:rsid w:val="0081797B"/>
    <w:rsid w:val="00817F22"/>
    <w:rsid w:val="008247F5"/>
    <w:rsid w:val="00826CCF"/>
    <w:rsid w:val="008322A7"/>
    <w:rsid w:val="00841BCD"/>
    <w:rsid w:val="00847264"/>
    <w:rsid w:val="00851A8E"/>
    <w:rsid w:val="0085365B"/>
    <w:rsid w:val="008826C1"/>
    <w:rsid w:val="00883DFD"/>
    <w:rsid w:val="008848A2"/>
    <w:rsid w:val="0089210C"/>
    <w:rsid w:val="00892CE7"/>
    <w:rsid w:val="00893D2E"/>
    <w:rsid w:val="008A1BF7"/>
    <w:rsid w:val="008A1C60"/>
    <w:rsid w:val="008A5B0E"/>
    <w:rsid w:val="008B0822"/>
    <w:rsid w:val="008B0961"/>
    <w:rsid w:val="008C2719"/>
    <w:rsid w:val="008C39F7"/>
    <w:rsid w:val="008E402E"/>
    <w:rsid w:val="008F5475"/>
    <w:rsid w:val="0090091A"/>
    <w:rsid w:val="009042BD"/>
    <w:rsid w:val="00904FE4"/>
    <w:rsid w:val="009213A7"/>
    <w:rsid w:val="00927740"/>
    <w:rsid w:val="00935BF0"/>
    <w:rsid w:val="00936159"/>
    <w:rsid w:val="009409BC"/>
    <w:rsid w:val="00945C58"/>
    <w:rsid w:val="0095345D"/>
    <w:rsid w:val="00977E1D"/>
    <w:rsid w:val="00981EBF"/>
    <w:rsid w:val="00982451"/>
    <w:rsid w:val="009838BE"/>
    <w:rsid w:val="009A1DBB"/>
    <w:rsid w:val="009A55FD"/>
    <w:rsid w:val="009A6388"/>
    <w:rsid w:val="009B0573"/>
    <w:rsid w:val="009B30DC"/>
    <w:rsid w:val="009B38DC"/>
    <w:rsid w:val="009B7B4B"/>
    <w:rsid w:val="009B7C21"/>
    <w:rsid w:val="009E4E6E"/>
    <w:rsid w:val="009F1C16"/>
    <w:rsid w:val="00A04992"/>
    <w:rsid w:val="00A147AA"/>
    <w:rsid w:val="00A21D71"/>
    <w:rsid w:val="00A22B78"/>
    <w:rsid w:val="00A246F7"/>
    <w:rsid w:val="00A25AE5"/>
    <w:rsid w:val="00A26442"/>
    <w:rsid w:val="00A32516"/>
    <w:rsid w:val="00A37002"/>
    <w:rsid w:val="00A4355E"/>
    <w:rsid w:val="00A520D9"/>
    <w:rsid w:val="00A64DA0"/>
    <w:rsid w:val="00A91F45"/>
    <w:rsid w:val="00A92BCD"/>
    <w:rsid w:val="00A957E7"/>
    <w:rsid w:val="00AA1B0E"/>
    <w:rsid w:val="00AA47B6"/>
    <w:rsid w:val="00AB7F27"/>
    <w:rsid w:val="00AC163B"/>
    <w:rsid w:val="00AC5CA7"/>
    <w:rsid w:val="00AC6058"/>
    <w:rsid w:val="00AC621B"/>
    <w:rsid w:val="00AD25D1"/>
    <w:rsid w:val="00AE2BA5"/>
    <w:rsid w:val="00AE56B1"/>
    <w:rsid w:val="00AE6D09"/>
    <w:rsid w:val="00AE6DF5"/>
    <w:rsid w:val="00AF7A7C"/>
    <w:rsid w:val="00B02070"/>
    <w:rsid w:val="00B408B6"/>
    <w:rsid w:val="00B536C8"/>
    <w:rsid w:val="00B542DA"/>
    <w:rsid w:val="00B55957"/>
    <w:rsid w:val="00B56F18"/>
    <w:rsid w:val="00B66E3A"/>
    <w:rsid w:val="00B73862"/>
    <w:rsid w:val="00B73F43"/>
    <w:rsid w:val="00B75BBF"/>
    <w:rsid w:val="00B81CDC"/>
    <w:rsid w:val="00B954A3"/>
    <w:rsid w:val="00BA27B2"/>
    <w:rsid w:val="00BA308C"/>
    <w:rsid w:val="00BA595E"/>
    <w:rsid w:val="00BA6B66"/>
    <w:rsid w:val="00BA6E48"/>
    <w:rsid w:val="00BE0AF6"/>
    <w:rsid w:val="00BE1F03"/>
    <w:rsid w:val="00BE58A7"/>
    <w:rsid w:val="00BF2218"/>
    <w:rsid w:val="00BF4BF9"/>
    <w:rsid w:val="00C0426B"/>
    <w:rsid w:val="00C045DF"/>
    <w:rsid w:val="00C0701E"/>
    <w:rsid w:val="00C10107"/>
    <w:rsid w:val="00C26D43"/>
    <w:rsid w:val="00C35173"/>
    <w:rsid w:val="00C45B68"/>
    <w:rsid w:val="00C46548"/>
    <w:rsid w:val="00C5514A"/>
    <w:rsid w:val="00C5521B"/>
    <w:rsid w:val="00C574D5"/>
    <w:rsid w:val="00C70AF4"/>
    <w:rsid w:val="00C73F32"/>
    <w:rsid w:val="00C871FA"/>
    <w:rsid w:val="00C87462"/>
    <w:rsid w:val="00C91293"/>
    <w:rsid w:val="00C969DB"/>
    <w:rsid w:val="00CA180C"/>
    <w:rsid w:val="00CB22B2"/>
    <w:rsid w:val="00CC3EE2"/>
    <w:rsid w:val="00CC4D29"/>
    <w:rsid w:val="00CD7492"/>
    <w:rsid w:val="00CE3A6B"/>
    <w:rsid w:val="00D00211"/>
    <w:rsid w:val="00D006D1"/>
    <w:rsid w:val="00D025AE"/>
    <w:rsid w:val="00D0623E"/>
    <w:rsid w:val="00D06309"/>
    <w:rsid w:val="00D15EE5"/>
    <w:rsid w:val="00D351EA"/>
    <w:rsid w:val="00D40288"/>
    <w:rsid w:val="00D43403"/>
    <w:rsid w:val="00D50A6B"/>
    <w:rsid w:val="00D51D4A"/>
    <w:rsid w:val="00D5270B"/>
    <w:rsid w:val="00D568B2"/>
    <w:rsid w:val="00D611A2"/>
    <w:rsid w:val="00D62E71"/>
    <w:rsid w:val="00D6430D"/>
    <w:rsid w:val="00D66188"/>
    <w:rsid w:val="00D731F6"/>
    <w:rsid w:val="00D740CA"/>
    <w:rsid w:val="00D80134"/>
    <w:rsid w:val="00D8464C"/>
    <w:rsid w:val="00D85728"/>
    <w:rsid w:val="00D911BA"/>
    <w:rsid w:val="00D95481"/>
    <w:rsid w:val="00DC44F7"/>
    <w:rsid w:val="00DC7A13"/>
    <w:rsid w:val="00DE4A48"/>
    <w:rsid w:val="00DE7064"/>
    <w:rsid w:val="00DF2997"/>
    <w:rsid w:val="00E10BC4"/>
    <w:rsid w:val="00E1415D"/>
    <w:rsid w:val="00E213BD"/>
    <w:rsid w:val="00E2232C"/>
    <w:rsid w:val="00E323E9"/>
    <w:rsid w:val="00E32FB6"/>
    <w:rsid w:val="00E34018"/>
    <w:rsid w:val="00E437D2"/>
    <w:rsid w:val="00E43BF9"/>
    <w:rsid w:val="00E47BC6"/>
    <w:rsid w:val="00E51930"/>
    <w:rsid w:val="00E55751"/>
    <w:rsid w:val="00E7398E"/>
    <w:rsid w:val="00E81A99"/>
    <w:rsid w:val="00E82B94"/>
    <w:rsid w:val="00E83238"/>
    <w:rsid w:val="00E86D7E"/>
    <w:rsid w:val="00EA2311"/>
    <w:rsid w:val="00EC7BC3"/>
    <w:rsid w:val="00ED7600"/>
    <w:rsid w:val="00EE4213"/>
    <w:rsid w:val="00EF203C"/>
    <w:rsid w:val="00EF6073"/>
    <w:rsid w:val="00EF698B"/>
    <w:rsid w:val="00F03AA6"/>
    <w:rsid w:val="00F12F5D"/>
    <w:rsid w:val="00F1362C"/>
    <w:rsid w:val="00F245A1"/>
    <w:rsid w:val="00F414F1"/>
    <w:rsid w:val="00F45EA5"/>
    <w:rsid w:val="00F508B8"/>
    <w:rsid w:val="00F5425B"/>
    <w:rsid w:val="00F64775"/>
    <w:rsid w:val="00F6505C"/>
    <w:rsid w:val="00F6734F"/>
    <w:rsid w:val="00F72CB1"/>
    <w:rsid w:val="00F8215E"/>
    <w:rsid w:val="00F824F5"/>
    <w:rsid w:val="00F90FAB"/>
    <w:rsid w:val="00F9374D"/>
    <w:rsid w:val="00F937AA"/>
    <w:rsid w:val="00FA146A"/>
    <w:rsid w:val="00FA4F7D"/>
    <w:rsid w:val="00FC19E7"/>
    <w:rsid w:val="00FC29B9"/>
    <w:rsid w:val="00FC6FD3"/>
    <w:rsid w:val="00FD1D70"/>
    <w:rsid w:val="00FD4621"/>
    <w:rsid w:val="00FE305C"/>
    <w:rsid w:val="00FF0301"/>
    <w:rsid w:val="00FF7043"/>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67B7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37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A91F45"/>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hnschrift SemiLight" w:hAnsi="Bahnschrift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25237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52374"/>
    <w:rPr>
      <w:rFonts w:ascii="Times New Roman" w:hAnsi="Times New Roman"/>
      <w:sz w:val="20"/>
      <w:lang w:val="en-GB"/>
    </w:rPr>
  </w:style>
  <w:style w:type="paragraph" w:styleId="Footer">
    <w:name w:val="footer"/>
    <w:basedOn w:val="Normal"/>
    <w:link w:val="FooterChar"/>
    <w:uiPriority w:val="99"/>
    <w:unhideWhenUsed/>
    <w:rsid w:val="0025237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52374"/>
    <w:rPr>
      <w:rFonts w:ascii="Times New Roman" w:hAnsi="Times New Roman"/>
      <w:sz w:val="20"/>
      <w:lang w:val="en-GB"/>
    </w:rPr>
  </w:style>
  <w:style w:type="paragraph" w:styleId="Revision">
    <w:name w:val="Revision"/>
    <w:hidden/>
    <w:uiPriority w:val="99"/>
    <w:semiHidden/>
    <w:rsid w:val="00D911BA"/>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6016">
      <w:bodyDiv w:val="1"/>
      <w:marLeft w:val="0"/>
      <w:marRight w:val="0"/>
      <w:marTop w:val="0"/>
      <w:marBottom w:val="0"/>
      <w:divBdr>
        <w:top w:val="none" w:sz="0" w:space="0" w:color="auto"/>
        <w:left w:val="none" w:sz="0" w:space="0" w:color="auto"/>
        <w:bottom w:val="none" w:sz="0" w:space="0" w:color="auto"/>
        <w:right w:val="none" w:sz="0" w:space="0" w:color="auto"/>
      </w:divBdr>
    </w:div>
    <w:div w:id="13769216">
      <w:bodyDiv w:val="1"/>
      <w:marLeft w:val="0"/>
      <w:marRight w:val="0"/>
      <w:marTop w:val="0"/>
      <w:marBottom w:val="0"/>
      <w:divBdr>
        <w:top w:val="none" w:sz="0" w:space="0" w:color="auto"/>
        <w:left w:val="none" w:sz="0" w:space="0" w:color="auto"/>
        <w:bottom w:val="none" w:sz="0" w:space="0" w:color="auto"/>
        <w:right w:val="none" w:sz="0" w:space="0" w:color="auto"/>
      </w:divBdr>
    </w:div>
    <w:div w:id="14698460">
      <w:bodyDiv w:val="1"/>
      <w:marLeft w:val="0"/>
      <w:marRight w:val="0"/>
      <w:marTop w:val="0"/>
      <w:marBottom w:val="0"/>
      <w:divBdr>
        <w:top w:val="none" w:sz="0" w:space="0" w:color="auto"/>
        <w:left w:val="none" w:sz="0" w:space="0" w:color="auto"/>
        <w:bottom w:val="none" w:sz="0" w:space="0" w:color="auto"/>
        <w:right w:val="none" w:sz="0" w:space="0" w:color="auto"/>
      </w:divBdr>
    </w:div>
    <w:div w:id="64500253">
      <w:bodyDiv w:val="1"/>
      <w:marLeft w:val="0"/>
      <w:marRight w:val="0"/>
      <w:marTop w:val="0"/>
      <w:marBottom w:val="0"/>
      <w:divBdr>
        <w:top w:val="none" w:sz="0" w:space="0" w:color="auto"/>
        <w:left w:val="none" w:sz="0" w:space="0" w:color="auto"/>
        <w:bottom w:val="none" w:sz="0" w:space="0" w:color="auto"/>
        <w:right w:val="none" w:sz="0" w:space="0" w:color="auto"/>
      </w:divBdr>
    </w:div>
    <w:div w:id="121653857">
      <w:bodyDiv w:val="1"/>
      <w:marLeft w:val="0"/>
      <w:marRight w:val="0"/>
      <w:marTop w:val="0"/>
      <w:marBottom w:val="0"/>
      <w:divBdr>
        <w:top w:val="none" w:sz="0" w:space="0" w:color="auto"/>
        <w:left w:val="none" w:sz="0" w:space="0" w:color="auto"/>
        <w:bottom w:val="none" w:sz="0" w:space="0" w:color="auto"/>
        <w:right w:val="none" w:sz="0" w:space="0" w:color="auto"/>
      </w:divBdr>
    </w:div>
    <w:div w:id="298337873">
      <w:bodyDiv w:val="1"/>
      <w:marLeft w:val="0"/>
      <w:marRight w:val="0"/>
      <w:marTop w:val="0"/>
      <w:marBottom w:val="0"/>
      <w:divBdr>
        <w:top w:val="none" w:sz="0" w:space="0" w:color="auto"/>
        <w:left w:val="none" w:sz="0" w:space="0" w:color="auto"/>
        <w:bottom w:val="none" w:sz="0" w:space="0" w:color="auto"/>
        <w:right w:val="none" w:sz="0" w:space="0" w:color="auto"/>
      </w:divBdr>
    </w:div>
    <w:div w:id="343870724">
      <w:bodyDiv w:val="1"/>
      <w:marLeft w:val="0"/>
      <w:marRight w:val="0"/>
      <w:marTop w:val="0"/>
      <w:marBottom w:val="0"/>
      <w:divBdr>
        <w:top w:val="none" w:sz="0" w:space="0" w:color="auto"/>
        <w:left w:val="none" w:sz="0" w:space="0" w:color="auto"/>
        <w:bottom w:val="none" w:sz="0" w:space="0" w:color="auto"/>
        <w:right w:val="none" w:sz="0" w:space="0" w:color="auto"/>
      </w:divBdr>
    </w:div>
    <w:div w:id="484902447">
      <w:bodyDiv w:val="1"/>
      <w:marLeft w:val="0"/>
      <w:marRight w:val="0"/>
      <w:marTop w:val="0"/>
      <w:marBottom w:val="0"/>
      <w:divBdr>
        <w:top w:val="none" w:sz="0" w:space="0" w:color="auto"/>
        <w:left w:val="none" w:sz="0" w:space="0" w:color="auto"/>
        <w:bottom w:val="none" w:sz="0" w:space="0" w:color="auto"/>
        <w:right w:val="none" w:sz="0" w:space="0" w:color="auto"/>
      </w:divBdr>
    </w:div>
    <w:div w:id="705443382">
      <w:bodyDiv w:val="1"/>
      <w:marLeft w:val="0"/>
      <w:marRight w:val="0"/>
      <w:marTop w:val="0"/>
      <w:marBottom w:val="0"/>
      <w:divBdr>
        <w:top w:val="none" w:sz="0" w:space="0" w:color="auto"/>
        <w:left w:val="none" w:sz="0" w:space="0" w:color="auto"/>
        <w:bottom w:val="none" w:sz="0" w:space="0" w:color="auto"/>
        <w:right w:val="none" w:sz="0" w:space="0" w:color="auto"/>
      </w:divBdr>
    </w:div>
    <w:div w:id="836846438">
      <w:bodyDiv w:val="1"/>
      <w:marLeft w:val="0"/>
      <w:marRight w:val="0"/>
      <w:marTop w:val="0"/>
      <w:marBottom w:val="0"/>
      <w:divBdr>
        <w:top w:val="none" w:sz="0" w:space="0" w:color="auto"/>
        <w:left w:val="none" w:sz="0" w:space="0" w:color="auto"/>
        <w:bottom w:val="none" w:sz="0" w:space="0" w:color="auto"/>
        <w:right w:val="none" w:sz="0" w:space="0" w:color="auto"/>
      </w:divBdr>
    </w:div>
    <w:div w:id="840851113">
      <w:bodyDiv w:val="1"/>
      <w:marLeft w:val="0"/>
      <w:marRight w:val="0"/>
      <w:marTop w:val="0"/>
      <w:marBottom w:val="0"/>
      <w:divBdr>
        <w:top w:val="none" w:sz="0" w:space="0" w:color="auto"/>
        <w:left w:val="none" w:sz="0" w:space="0" w:color="auto"/>
        <w:bottom w:val="none" w:sz="0" w:space="0" w:color="auto"/>
        <w:right w:val="none" w:sz="0" w:space="0" w:color="auto"/>
      </w:divBdr>
    </w:div>
    <w:div w:id="948663597">
      <w:bodyDiv w:val="1"/>
      <w:marLeft w:val="0"/>
      <w:marRight w:val="0"/>
      <w:marTop w:val="0"/>
      <w:marBottom w:val="0"/>
      <w:divBdr>
        <w:top w:val="none" w:sz="0" w:space="0" w:color="auto"/>
        <w:left w:val="none" w:sz="0" w:space="0" w:color="auto"/>
        <w:bottom w:val="none" w:sz="0" w:space="0" w:color="auto"/>
        <w:right w:val="none" w:sz="0" w:space="0" w:color="auto"/>
      </w:divBdr>
    </w:div>
    <w:div w:id="1250235244">
      <w:bodyDiv w:val="1"/>
      <w:marLeft w:val="0"/>
      <w:marRight w:val="0"/>
      <w:marTop w:val="0"/>
      <w:marBottom w:val="0"/>
      <w:divBdr>
        <w:top w:val="none" w:sz="0" w:space="0" w:color="auto"/>
        <w:left w:val="none" w:sz="0" w:space="0" w:color="auto"/>
        <w:bottom w:val="none" w:sz="0" w:space="0" w:color="auto"/>
        <w:right w:val="none" w:sz="0" w:space="0" w:color="auto"/>
      </w:divBdr>
    </w:div>
    <w:div w:id="1306084363">
      <w:bodyDiv w:val="1"/>
      <w:marLeft w:val="0"/>
      <w:marRight w:val="0"/>
      <w:marTop w:val="0"/>
      <w:marBottom w:val="0"/>
      <w:divBdr>
        <w:top w:val="none" w:sz="0" w:space="0" w:color="auto"/>
        <w:left w:val="none" w:sz="0" w:space="0" w:color="auto"/>
        <w:bottom w:val="none" w:sz="0" w:space="0" w:color="auto"/>
        <w:right w:val="none" w:sz="0" w:space="0" w:color="auto"/>
      </w:divBdr>
    </w:div>
    <w:div w:id="1408191280">
      <w:bodyDiv w:val="1"/>
      <w:marLeft w:val="0"/>
      <w:marRight w:val="0"/>
      <w:marTop w:val="0"/>
      <w:marBottom w:val="0"/>
      <w:divBdr>
        <w:top w:val="none" w:sz="0" w:space="0" w:color="auto"/>
        <w:left w:val="none" w:sz="0" w:space="0" w:color="auto"/>
        <w:bottom w:val="none" w:sz="0" w:space="0" w:color="auto"/>
        <w:right w:val="none" w:sz="0" w:space="0" w:color="auto"/>
      </w:divBdr>
    </w:div>
    <w:div w:id="1502086984">
      <w:bodyDiv w:val="1"/>
      <w:marLeft w:val="0"/>
      <w:marRight w:val="0"/>
      <w:marTop w:val="0"/>
      <w:marBottom w:val="0"/>
      <w:divBdr>
        <w:top w:val="none" w:sz="0" w:space="0" w:color="auto"/>
        <w:left w:val="none" w:sz="0" w:space="0" w:color="auto"/>
        <w:bottom w:val="none" w:sz="0" w:space="0" w:color="auto"/>
        <w:right w:val="none" w:sz="0" w:space="0" w:color="auto"/>
      </w:divBdr>
    </w:div>
    <w:div w:id="1525440811">
      <w:bodyDiv w:val="1"/>
      <w:marLeft w:val="0"/>
      <w:marRight w:val="0"/>
      <w:marTop w:val="0"/>
      <w:marBottom w:val="0"/>
      <w:divBdr>
        <w:top w:val="none" w:sz="0" w:space="0" w:color="auto"/>
        <w:left w:val="none" w:sz="0" w:space="0" w:color="auto"/>
        <w:bottom w:val="none" w:sz="0" w:space="0" w:color="auto"/>
        <w:right w:val="none" w:sz="0" w:space="0" w:color="auto"/>
      </w:divBdr>
    </w:div>
    <w:div w:id="1759053867">
      <w:bodyDiv w:val="1"/>
      <w:marLeft w:val="0"/>
      <w:marRight w:val="0"/>
      <w:marTop w:val="0"/>
      <w:marBottom w:val="0"/>
      <w:divBdr>
        <w:top w:val="none" w:sz="0" w:space="0" w:color="auto"/>
        <w:left w:val="none" w:sz="0" w:space="0" w:color="auto"/>
        <w:bottom w:val="none" w:sz="0" w:space="0" w:color="auto"/>
        <w:right w:val="none" w:sz="0" w:space="0" w:color="auto"/>
      </w:divBdr>
    </w:div>
    <w:div w:id="1768234425">
      <w:bodyDiv w:val="1"/>
      <w:marLeft w:val="0"/>
      <w:marRight w:val="0"/>
      <w:marTop w:val="0"/>
      <w:marBottom w:val="0"/>
      <w:divBdr>
        <w:top w:val="none" w:sz="0" w:space="0" w:color="auto"/>
        <w:left w:val="none" w:sz="0" w:space="0" w:color="auto"/>
        <w:bottom w:val="none" w:sz="0" w:space="0" w:color="auto"/>
        <w:right w:val="none" w:sz="0" w:space="0" w:color="auto"/>
      </w:divBdr>
    </w:div>
    <w:div w:id="2102218323">
      <w:bodyDiv w:val="1"/>
      <w:marLeft w:val="0"/>
      <w:marRight w:val="0"/>
      <w:marTop w:val="0"/>
      <w:marBottom w:val="0"/>
      <w:divBdr>
        <w:top w:val="none" w:sz="0" w:space="0" w:color="auto"/>
        <w:left w:val="none" w:sz="0" w:space="0" w:color="auto"/>
        <w:bottom w:val="none" w:sz="0" w:space="0" w:color="auto"/>
        <w:right w:val="none" w:sz="0" w:space="0" w:color="auto"/>
      </w:divBdr>
    </w:div>
    <w:div w:id="2108891734">
      <w:bodyDiv w:val="1"/>
      <w:marLeft w:val="0"/>
      <w:marRight w:val="0"/>
      <w:marTop w:val="0"/>
      <w:marBottom w:val="0"/>
      <w:divBdr>
        <w:top w:val="none" w:sz="0" w:space="0" w:color="auto"/>
        <w:left w:val="none" w:sz="0" w:space="0" w:color="auto"/>
        <w:bottom w:val="none" w:sz="0" w:space="0" w:color="auto"/>
        <w:right w:val="none" w:sz="0" w:space="0" w:color="auto"/>
      </w:divBdr>
    </w:div>
    <w:div w:id="211107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1299</Words>
  <Characters>7409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8691</CharactersWithSpaces>
  <SharedDoc>false</SharedDoc>
  <HLinks>
    <vt:vector size="48" baseType="variant">
      <vt:variant>
        <vt:i4>6029432</vt:i4>
      </vt:variant>
      <vt:variant>
        <vt:i4>30</vt:i4>
      </vt:variant>
      <vt:variant>
        <vt:i4>0</vt:i4>
      </vt:variant>
      <vt:variant>
        <vt:i4>5</vt:i4>
      </vt:variant>
      <vt:variant>
        <vt:lpwstr>https://www.3gpp.org/ftp/tsg_ran/WG4_Radio/TSGR4_109/Docs</vt:lpwstr>
      </vt:variant>
      <vt:variant>
        <vt:lpwstr/>
      </vt:variant>
      <vt:variant>
        <vt:i4>46</vt:i4>
      </vt:variant>
      <vt:variant>
        <vt:i4>27</vt:i4>
      </vt:variant>
      <vt:variant>
        <vt:i4>0</vt:i4>
      </vt:variant>
      <vt:variant>
        <vt:i4>5</vt:i4>
      </vt:variant>
      <vt:variant>
        <vt:lpwstr>https://www.3gpp.org/ftp/tsg_ran/WG4_Radio/TSGR4_108bis/Docs</vt:lpwstr>
      </vt:variant>
      <vt:variant>
        <vt:lpwstr/>
      </vt:variant>
      <vt:variant>
        <vt:i4>6094968</vt:i4>
      </vt:variant>
      <vt:variant>
        <vt:i4>24</vt:i4>
      </vt:variant>
      <vt:variant>
        <vt:i4>0</vt:i4>
      </vt:variant>
      <vt:variant>
        <vt:i4>5</vt:i4>
      </vt:variant>
      <vt:variant>
        <vt:lpwstr>https://www.3gpp.org/ftp/tsg_ran/WG4_Radio/TSGR4_108/Docs</vt:lpwstr>
      </vt:variant>
      <vt:variant>
        <vt:lpwstr/>
      </vt:variant>
      <vt:variant>
        <vt:i4>5898315</vt:i4>
      </vt:variant>
      <vt:variant>
        <vt:i4>21</vt:i4>
      </vt:variant>
      <vt:variant>
        <vt:i4>0</vt:i4>
      </vt:variant>
      <vt:variant>
        <vt:i4>5</vt:i4>
      </vt:variant>
      <vt:variant>
        <vt:lpwstr>https://whatthespec.net/index.php</vt:lpwstr>
      </vt:variant>
      <vt:variant>
        <vt:lpwstr/>
      </vt:variant>
      <vt:variant>
        <vt:i4>1376315</vt:i4>
      </vt:variant>
      <vt:variant>
        <vt:i4>17</vt:i4>
      </vt:variant>
      <vt:variant>
        <vt:i4>0</vt:i4>
      </vt:variant>
      <vt:variant>
        <vt:i4>5</vt:i4>
      </vt:variant>
      <vt:variant>
        <vt:lpwstr/>
      </vt:variant>
      <vt:variant>
        <vt:lpwstr>_Toc133918805</vt:lpwstr>
      </vt:variant>
      <vt:variant>
        <vt:i4>1376315</vt:i4>
      </vt:variant>
      <vt:variant>
        <vt:i4>14</vt:i4>
      </vt:variant>
      <vt:variant>
        <vt:i4>0</vt:i4>
      </vt:variant>
      <vt:variant>
        <vt:i4>5</vt:i4>
      </vt:variant>
      <vt:variant>
        <vt:lpwstr/>
      </vt:variant>
      <vt:variant>
        <vt:lpwstr>_Toc133918804</vt:lpwstr>
      </vt:variant>
      <vt:variant>
        <vt:i4>1376315</vt:i4>
      </vt:variant>
      <vt:variant>
        <vt:i4>11</vt:i4>
      </vt:variant>
      <vt:variant>
        <vt:i4>0</vt:i4>
      </vt:variant>
      <vt:variant>
        <vt:i4>5</vt:i4>
      </vt:variant>
      <vt:variant>
        <vt:lpwstr/>
      </vt:variant>
      <vt:variant>
        <vt:lpwstr>_Toc133918803</vt:lpwstr>
      </vt:variant>
      <vt:variant>
        <vt:i4>1376315</vt:i4>
      </vt:variant>
      <vt:variant>
        <vt:i4>8</vt:i4>
      </vt:variant>
      <vt:variant>
        <vt:i4>0</vt:i4>
      </vt:variant>
      <vt:variant>
        <vt:i4>5</vt:i4>
      </vt:variant>
      <vt:variant>
        <vt:lpwstr/>
      </vt:variant>
      <vt:variant>
        <vt:lpwstr>_Toc133918802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2024-10-07T12:28:00Z</dcterms:created>
  <dcterms:modified xsi:type="dcterms:W3CDTF">2024-10-07T12:28:00Z</dcterms:modified>
</cp:coreProperties>
</file>